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rPr>
          <w:rFonts w:hint="eastAsia" w:ascii="宋体" w:hAnsi="宋体" w:cs="宋体"/>
          <w:color w:val="000000"/>
          <w:szCs w:val="21"/>
          <w:highlight w:val="none"/>
          <w:lang w:bidi="ar"/>
        </w:rPr>
        <w:t xml:space="preserve"> </w:t>
      </w:r>
      <w:r>
        <w:rPr>
          <w:rFonts w:hint="eastAsia" w:ascii="Arial" w:hAnsi="Arial" w:eastAsia="黑体"/>
          <w:b/>
          <w:bCs/>
          <w:color w:val="000000"/>
          <w:sz w:val="84"/>
          <w:szCs w:val="24"/>
          <w:highlight w:val="none"/>
        </w:rPr>
      </w:r>
      <w:r/>
    </w:p>
    <w:p>
      <w:pPr>
        <w:pStyle w:val="964"/>
        <w:ind w:firstLine="0"/>
        <w:jc w:val="center"/>
        <w:rPr>
          <w:rFonts w:hint="eastAsia" w:eastAsia="黑体"/>
          <w:b/>
          <w:bCs/>
          <w:color w:val="000000"/>
          <w:sz w:val="84"/>
          <w:highlight w:val="none"/>
        </w:rPr>
      </w:pPr>
      <w:r>
        <w:rPr>
          <w:rFonts w:hint="eastAsia" w:eastAsia="黑体"/>
          <w:b/>
          <w:bCs/>
          <w:color w:val="000000"/>
          <w:sz w:val="84"/>
          <w:highlight w:val="none"/>
        </w:rPr>
        <w:t xml:space="preserve">竞争性磋商文件</w:t>
      </w:r>
      <w:r>
        <w:rPr>
          <w:rFonts w:hint="eastAsia" w:eastAsia="黑体"/>
          <w:b/>
          <w:bCs/>
          <w:color w:val="000000"/>
          <w:sz w:val="84"/>
          <w:highlight w:val="none"/>
        </w:rPr>
      </w:r>
      <w:r/>
    </w:p>
    <w:p>
      <w:pPr>
        <w:pStyle w:val="873"/>
        <w:ind w:firstLine="1606"/>
        <w:rPr>
          <w:rFonts w:hint="eastAsia" w:ascii="Arial" w:hAnsi="Arial"/>
          <w:b/>
          <w:bCs/>
          <w:color w:val="000000"/>
          <w:sz w:val="32"/>
          <w:szCs w:val="24"/>
          <w:highlight w:val="none"/>
          <w:u w:val="single"/>
        </w:rPr>
      </w:pPr>
      <w:r>
        <w:rPr>
          <w:rFonts w:hint="eastAsia" w:ascii="Arial" w:hAnsi="Arial"/>
          <w:b/>
          <w:bCs/>
          <w:color w:val="000000"/>
          <w:sz w:val="32"/>
          <w:szCs w:val="24"/>
          <w:highlight w:val="none"/>
        </w:rPr>
        <w:t xml:space="preserve">项目名称：</w:t>
      </w:r>
      <w:r>
        <w:rPr>
          <w:rFonts w:hint="eastAsia"/>
          <w:b/>
          <w:color w:val="000000"/>
          <w:sz w:val="32"/>
          <w:szCs w:val="32"/>
          <w:highlight w:val="none"/>
        </w:rPr>
        <w:t xml:space="preserve">南京市智慧规划资源系统（耕地资源精细化管理功能建设）项目</w:t>
      </w:r>
      <w:r>
        <w:rPr>
          <w:rFonts w:hint="eastAsia" w:ascii="Arial" w:hAnsi="Arial"/>
          <w:b/>
          <w:bCs/>
          <w:color w:val="000000"/>
          <w:sz w:val="32"/>
          <w:szCs w:val="24"/>
          <w:highlight w:val="none"/>
          <w:u w:val="single"/>
        </w:rPr>
      </w:r>
      <w:r/>
    </w:p>
    <w:p>
      <w:pPr>
        <w:pStyle w:val="873"/>
        <w:ind w:firstLine="1606"/>
        <w:jc w:val="left"/>
        <w:spacing w:before="120" w:after="120" w:line="360" w:lineRule="auto"/>
        <w:rPr>
          <w:color w:val="000000"/>
          <w:highlight w:val="none"/>
        </w:rPr>
      </w:pPr>
      <w:r>
        <w:rPr>
          <w:rFonts w:hint="eastAsia" w:ascii="Arial" w:hAnsi="Arial"/>
          <w:b/>
          <w:bCs/>
          <w:color w:val="000000"/>
          <w:sz w:val="32"/>
          <w:szCs w:val="24"/>
          <w:highlight w:val="none"/>
        </w:rPr>
        <w:t xml:space="preserve">项目编号：</w:t>
      </w:r>
      <w:r>
        <w:rPr>
          <w:rFonts w:hint="eastAsia"/>
          <w:b/>
          <w:color w:val="000000"/>
          <w:sz w:val="32"/>
          <w:szCs w:val="32"/>
          <w:highlight w:val="none"/>
        </w:rPr>
        <w:t xml:space="preserve">JSZC-320100-JZCG-C2025-0419</w:t>
      </w:r>
      <w:r>
        <w:rPr>
          <w:color w:val="000000"/>
          <w:highlight w:val="none"/>
        </w:rPr>
      </w:r>
      <w:r/>
    </w:p>
    <w:p>
      <w:pPr>
        <w:pStyle w:val="873"/>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73"/>
        <w:jc w:val="center"/>
        <w:rPr>
          <w:rFonts w:hint="eastAsia"/>
          <w:b/>
          <w:color w:val="000000"/>
          <w:sz w:val="32"/>
          <w:szCs w:val="32"/>
          <w:highlight w:val="none"/>
        </w:rPr>
      </w:pPr>
      <w:r>
        <w:rPr>
          <w:rFonts w:hint="eastAsia"/>
          <w:b/>
          <w:color w:val="000000"/>
          <w:sz w:val="32"/>
          <w:szCs w:val="32"/>
          <w:highlight w:val="none"/>
        </w:rPr>
        <w:t xml:space="preserve">20</w:t>
      </w:r>
      <w:r>
        <w:rPr>
          <w:b/>
          <w:color w:val="000000"/>
          <w:sz w:val="32"/>
          <w:szCs w:val="32"/>
          <w:highlight w:val="none"/>
        </w:rPr>
        <w:t xml:space="preserve">25</w:t>
      </w:r>
      <w:r>
        <w:rPr>
          <w:rFonts w:hint="eastAsia"/>
          <w:b/>
          <w:color w:val="000000"/>
          <w:sz w:val="32"/>
          <w:szCs w:val="32"/>
          <w:highlight w:val="none"/>
        </w:rPr>
        <w:t xml:space="preserve">年</w:t>
      </w:r>
      <w:r>
        <w:rPr>
          <w:b/>
          <w:color w:val="000000"/>
          <w:sz w:val="32"/>
          <w:szCs w:val="32"/>
          <w:highlight w:val="none"/>
        </w:rPr>
        <w:t xml:space="preserve">10</w:t>
      </w:r>
      <w:r>
        <w:rPr>
          <w:rFonts w:hint="eastAsia"/>
          <w:b/>
          <w:color w:val="000000"/>
          <w:sz w:val="32"/>
          <w:szCs w:val="32"/>
          <w:highlight w:val="none"/>
        </w:rPr>
        <w:t xml:space="preserve">月</w:t>
      </w:r>
      <w:r>
        <w:rPr>
          <w:rFonts w:hint="eastAsia"/>
          <w:b/>
          <w:color w:val="000000"/>
          <w:sz w:val="32"/>
          <w:szCs w:val="32"/>
          <w:highlight w:val="none"/>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3"/>
        <w:jc w:val="center"/>
        <w:spacing w:line="480" w:lineRule="auto"/>
        <w:rPr>
          <w:color w:val="000000"/>
          <w:szCs w:val="21"/>
          <w:highlight w:val="none"/>
        </w:rPr>
        <w:outlineLvl w:val="0"/>
      </w:pPr>
      <w:r>
        <w:rPr>
          <w:color w:val="000000"/>
          <w:szCs w:val="21"/>
          <w:highlight w:val="none"/>
        </w:rPr>
      </w:r>
      <w:r/>
    </w:p>
    <w:p>
      <w:pPr>
        <w:pStyle w:val="873"/>
        <w:jc w:val="center"/>
        <w:spacing w:line="480" w:lineRule="auto"/>
        <w:rPr>
          <w:color w:val="000000"/>
          <w:szCs w:val="21"/>
          <w:highlight w:val="none"/>
        </w:rPr>
        <w:outlineLvl w:val="0"/>
      </w:pPr>
      <w:r>
        <w:rPr>
          <w:color w:val="000000"/>
          <w:szCs w:val="21"/>
          <w:highlight w:val="none"/>
        </w:rPr>
      </w:r>
      <w:r/>
    </w:p>
    <w:p>
      <w:pPr>
        <w:pStyle w:val="873"/>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bookmarkStart w:id="0" w:name="_Toc523127445"/>
      <w:r/>
      <w:bookmarkStart w:id="1" w:name="_Toc120614210"/>
      <w:r/>
      <w:bookmarkStart w:id="2" w:name="_Toc20823272"/>
      <w:r/>
      <w:bookmarkStart w:id="3" w:name="_Toc513029200"/>
      <w:r/>
      <w:bookmarkStart w:id="4" w:name="_Toc16938516"/>
      <w:r/>
      <w:bookmarkStart w:id="5" w:name="_Toc479757206"/>
      <w:r>
        <w:rPr>
          <w:rFonts w:hint="eastAsia" w:ascii="仿宋_GB2312" w:hAnsi="Arial" w:eastAsia="仿宋_GB2312"/>
          <w:b/>
          <w:color w:val="000000"/>
          <w:sz w:val="28"/>
          <w:szCs w:val="21"/>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磋商邀请…………………………………… </w:t>
      </w:r>
      <w:r>
        <w:rPr>
          <w:rFonts w:hint="eastAsia" w:ascii="黑体" w:hAnsi="宋体" w:eastAsia="黑体"/>
          <w:color w:val="000000"/>
          <w:sz w:val="36"/>
          <w:szCs w:val="21"/>
          <w:highlight w:val="none"/>
        </w:rPr>
        <w:t xml:space="preserve">3</w:t>
      </w:r>
      <w:r/>
    </w:p>
    <w:p>
      <w:pPr>
        <w:pStyle w:val="873"/>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供应商须知………………………………… 5</w:t>
      </w:r>
      <w:r>
        <w:rPr>
          <w:rFonts w:hint="eastAsia" w:ascii="黑体" w:hAnsi="宋体" w:eastAsia="黑体"/>
          <w:color w:val="000000"/>
          <w:sz w:val="36"/>
          <w:szCs w:val="21"/>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w:t>
      </w:r>
      <w:r>
        <w:rPr>
          <w:rFonts w:hint="eastAsia" w:ascii="黑体" w:hAnsi="宋体" w:eastAsia="黑体"/>
          <w:color w:val="000000"/>
          <w:sz w:val="36"/>
          <w:szCs w:val="21"/>
          <w:highlight w:val="none"/>
        </w:rPr>
        <w:t xml:space="preserve">14</w:t>
      </w:r>
      <w:r/>
    </w:p>
    <w:p>
      <w:pPr>
        <w:pStyle w:val="873"/>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w:t>
      </w:r>
      <w:r>
        <w:rPr>
          <w:rFonts w:hint="eastAsia" w:ascii="黑体" w:hAnsi="宋体" w:eastAsia="黑体"/>
          <w:color w:val="000000"/>
          <w:sz w:val="36"/>
          <w:szCs w:val="21"/>
          <w:highlight w:val="none"/>
        </w:rPr>
        <w:t xml:space="preserve">17</w:t>
      </w:r>
      <w:r>
        <w:rPr>
          <w:rFonts w:hint="eastAsia" w:ascii="黑体" w:hAnsi="宋体" w:eastAsia="黑体"/>
          <w:color w:val="000000"/>
          <w:sz w:val="36"/>
          <w:szCs w:val="21"/>
          <w:highlight w:val="none"/>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评审方法与评审标准………………………27</w:t>
      </w:r>
      <w:r/>
    </w:p>
    <w:p>
      <w:pPr>
        <w:pStyle w:val="873"/>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响应文件格式………………………………32</w:t>
      </w:r>
      <w:r/>
    </w:p>
    <w:p>
      <w:pPr>
        <w:pStyle w:val="873"/>
        <w:rPr>
          <w:rFonts w:hint="eastAsia"/>
          <w:color w:val="000000"/>
          <w:szCs w:val="21"/>
          <w:highlight w:val="none"/>
        </w:rPr>
      </w:pPr>
      <w:r>
        <w:rPr>
          <w:rFonts w:hint="eastAsia"/>
          <w:color w:val="000000"/>
          <w:szCs w:val="21"/>
          <w:highlight w:val="none"/>
        </w:rPr>
      </w:r>
      <w:r/>
    </w:p>
    <w:p>
      <w:pPr>
        <w:pStyle w:val="873"/>
        <w:rPr>
          <w:rFonts w:hint="eastAsia"/>
          <w:color w:val="000000"/>
          <w:szCs w:val="21"/>
          <w:highlight w:val="none"/>
        </w:rPr>
      </w:pPr>
      <w:r>
        <w:rPr>
          <w:rFonts w:hint="eastAsia"/>
          <w:color w:val="000000"/>
          <w:szCs w:val="21"/>
          <w:highlight w:val="none"/>
        </w:rPr>
      </w:r>
      <w:r/>
    </w:p>
    <w:p>
      <w:pPr>
        <w:pStyle w:val="873"/>
        <w:rPr>
          <w:rFonts w:hint="eastAsia"/>
          <w:color w:val="000000"/>
          <w:szCs w:val="21"/>
          <w:highlight w:val="none"/>
        </w:rPr>
      </w:pPr>
      <w:r>
        <w:rPr>
          <w:rFonts w:hint="eastAsia"/>
          <w:color w:val="000000"/>
          <w:szCs w:val="21"/>
          <w:highlight w:val="none"/>
        </w:rPr>
      </w:r>
      <w:r/>
    </w:p>
    <w:p>
      <w:pPr>
        <w:pStyle w:val="873"/>
        <w:rPr>
          <w:rFonts w:hint="eastAsia"/>
          <w:color w:val="000000"/>
          <w:szCs w:val="21"/>
          <w:highlight w:val="none"/>
        </w:rPr>
      </w:pPr>
      <w:r>
        <w:rPr>
          <w:rFonts w:hint="eastAsia"/>
          <w:color w:val="000000"/>
          <w:szCs w:val="21"/>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磋商邀请</w:t>
      </w:r>
      <w:r>
        <w:rPr>
          <w:rFonts w:hint="eastAsia" w:ascii="方正小标宋简体" w:hAnsi="方正小标宋简体" w:eastAsia="方正小标宋简体" w:cs="方正小标宋简体"/>
          <w:color w:val="000000"/>
          <w:sz w:val="36"/>
          <w:szCs w:val="36"/>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受</w:t>
      </w:r>
      <w:r>
        <w:rPr>
          <w:rFonts w:ascii="宋体" w:hAnsi="宋体"/>
          <w:color w:val="000000"/>
          <w:sz w:val="24"/>
          <w:szCs w:val="24"/>
          <w:highlight w:val="none"/>
        </w:rPr>
        <w:t xml:space="preserve">南京市规划和自然资源局</w:t>
      </w:r>
      <w:r>
        <w:rPr>
          <w:rFonts w:hint="eastAsia" w:ascii="宋体" w:hAnsi="宋体"/>
          <w:color w:val="000000"/>
          <w:sz w:val="24"/>
          <w:szCs w:val="24"/>
          <w:highlight w:val="none"/>
        </w:rPr>
        <w:t xml:space="preserve">（采购单位）委托，南京市公共资源交易中心（以下简称“交易中心”）就</w:t>
      </w:r>
      <w:r>
        <w:rPr>
          <w:rFonts w:hint="eastAsia" w:ascii="宋体" w:hAnsi="宋体"/>
          <w:color w:val="000000"/>
          <w:sz w:val="24"/>
          <w:szCs w:val="24"/>
          <w:highlight w:val="none"/>
        </w:rPr>
        <w:t xml:space="preserve">南京市智慧规划资源系统（耕地资源精细化管理功能建设）项目</w:t>
      </w:r>
      <w:r>
        <w:rPr>
          <w:rFonts w:hint="eastAsia" w:ascii="宋体" w:hAnsi="宋体"/>
          <w:color w:val="000000"/>
          <w:sz w:val="24"/>
          <w:szCs w:val="24"/>
          <w:highlight w:val="none"/>
        </w:rPr>
        <w:t xml:space="preserve">（项目名称）进行竞争性磋商采购，欢迎符合条件的供应商参加磋商。</w:t>
      </w:r>
      <w:r>
        <w:rPr>
          <w:rFonts w:hint="eastAsia" w:ascii="宋体" w:hAnsi="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rPr>
        <w:t xml:space="preserve">JSZC-320100-JZCG-C2025-0419</w:t>
      </w:r>
      <w:r>
        <w:rPr>
          <w:rFonts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rPr>
        <w:t xml:space="preserve">南京市智慧规划资源系统（耕地资源精细化管理功能建设）项目</w:t>
      </w:r>
      <w:r>
        <w:rPr>
          <w:rFonts w:hint="eastAsia" w:ascii="宋体" w:hAnsi="宋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3.预算金额：278.08</w:t>
      </w:r>
      <w:r>
        <w:rPr>
          <w:rFonts w:hint="eastAsia" w:ascii="宋体" w:hAnsi="宋体"/>
          <w:color w:val="000000"/>
          <w:sz w:val="24"/>
          <w:szCs w:val="24"/>
          <w:highlight w:val="none"/>
        </w:rPr>
        <w:t xml:space="preserve">万元。（</w:t>
      </w:r>
      <w:r>
        <w:rPr>
          <w:rFonts w:ascii="宋体" w:hAnsi="宋体"/>
          <w:color w:val="000000"/>
          <w:sz w:val="24"/>
          <w:szCs w:val="24"/>
          <w:highlight w:val="none"/>
        </w:rPr>
        <w:t xml:space="preserve">采购</w:t>
      </w:r>
      <w:r>
        <w:rPr>
          <w:rFonts w:hint="eastAsia" w:ascii="宋体" w:hAnsi="宋体"/>
          <w:color w:val="000000"/>
          <w:sz w:val="24"/>
          <w:szCs w:val="24"/>
          <w:highlight w:val="none"/>
        </w:rPr>
        <w:t xml:space="preserve">包1：</w:t>
      </w:r>
      <w:r>
        <w:rPr>
          <w:rFonts w:ascii="宋体" w:hAnsi="宋体"/>
          <w:color w:val="000000"/>
          <w:sz w:val="24"/>
          <w:szCs w:val="24"/>
          <w:highlight w:val="none"/>
        </w:rPr>
        <w:t xml:space="preserve">64.96万；采购</w:t>
      </w:r>
      <w:r>
        <w:rPr>
          <w:rFonts w:hint="eastAsia" w:ascii="宋体" w:hAnsi="宋体"/>
          <w:color w:val="000000"/>
          <w:sz w:val="24"/>
          <w:szCs w:val="24"/>
          <w:highlight w:val="none"/>
        </w:rPr>
        <w:t xml:space="preserve">包2：</w:t>
      </w:r>
      <w:r>
        <w:rPr>
          <w:rFonts w:ascii="宋体" w:hAnsi="宋体"/>
          <w:color w:val="000000"/>
          <w:sz w:val="24"/>
          <w:szCs w:val="24"/>
          <w:highlight w:val="none"/>
        </w:rPr>
        <w:t xml:space="preserve">213.12万元</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rPr>
        <w:t xml:space="preserve">本项目不</w:t>
      </w:r>
      <w:r>
        <w:rPr>
          <w:rFonts w:hint="eastAsia" w:ascii="宋体" w:hAnsi="宋体" w:cs="宋体"/>
          <w:color w:val="000000"/>
          <w:sz w:val="24"/>
          <w:szCs w:val="24"/>
          <w:highlight w:val="none"/>
        </w:rPr>
        <w:t xml:space="preserve">设定最高限价</w:t>
      </w:r>
      <w:r>
        <w:rPr>
          <w:rFonts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873"/>
        <w:ind w:firstLine="480"/>
        <w:spacing w:line="264"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立足已有数据基础，统筹整合调查摸底采集的全市耕地、林地湿地及高标准农田等数据，并对耕地、林地等地块进行赋码和信息融合，完成专项数据库建设；依托“高清影像自动检查+无人机辅助识别+人工核查”的动态监测体系，以高清遥感影像为基础，以无人机巡查、视频探头和人工核查为补充，实现对耕地、林地、湿地等利用现状变化信息的快速监测，提升变化监测和预警能力，支撑高效管理与科学决策。</w:t>
      </w:r>
      <w:r>
        <w:rPr>
          <w:rFonts w:hint="eastAsia" w:ascii="宋体" w:hAnsi="宋体" w:cs="宋体"/>
          <w:color w:val="000000"/>
          <w:sz w:val="24"/>
          <w:szCs w:val="24"/>
          <w:highlight w:val="none"/>
        </w:rPr>
        <w:t xml:space="preserve">（详细内容见本磋商文件第四章） </w:t>
      </w:r>
      <w:r>
        <w:rPr>
          <w:rFonts w:ascii="宋体" w:hAnsi="宋体"/>
          <w:color w:val="000000"/>
          <w:sz w:val="24"/>
          <w:szCs w:val="24"/>
          <w:highlight w:val="none"/>
          <w:u w:val="single"/>
        </w:rPr>
      </w:r>
      <w:r/>
    </w:p>
    <w:p>
      <w:pPr>
        <w:pStyle w:val="873"/>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6.合同履行期限：760天（系统开发及验收时间为合同签订后30天内，维保期是项目验收之日起两年。）</w:t>
      </w:r>
      <w:r>
        <w:rPr>
          <w:rFonts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rPr>
        <w:t xml:space="preserve">不接受</w:t>
      </w:r>
      <w:r>
        <w:rPr>
          <w:rFonts w:hint="eastAsia" w:ascii="宋体" w:hAnsi="宋体" w:cs="宋体"/>
          <w:color w:val="000000"/>
          <w:sz w:val="24"/>
          <w:szCs w:val="24"/>
          <w:highlight w:val="none"/>
        </w:rPr>
        <w:t xml:space="preserve">联合体参加磋商。</w:t>
      </w:r>
      <w:r>
        <w:rPr>
          <w:rFonts w:hint="eastAsia" w:ascii="宋体" w:hAnsi="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rPr>
          <w:rFonts w:hint="eastAsia" w:ascii="宋体" w:hAnsi="宋体"/>
          <w:color w:val="000000"/>
          <w:sz w:val="24"/>
          <w:szCs w:val="24"/>
          <w:highlight w:val="none"/>
          <w:lang w:val="zh-CN"/>
        </w:rPr>
      </w:r>
      <w:r/>
    </w:p>
    <w:p>
      <w:pPr>
        <w:pStyle w:val="873"/>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lang w:val="zh-CN"/>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2.落实政府采购政策需满足的资格要求：</w:t>
      </w:r>
      <w:r>
        <w:rPr>
          <w:rFonts w:hint="eastAsia" w:ascii="宋体" w:hAnsi="宋体"/>
          <w:color w:val="000000"/>
          <w:sz w:val="24"/>
          <w:szCs w:val="24"/>
          <w:highlight w:val="none"/>
          <w:lang w:val="zh-CN"/>
        </w:rPr>
        <w:t xml:space="preserve">无</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t xml:space="preserve">无</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1.时间：自磋商文件公告发布之日起。</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2.方式：在“江苏政府采购网”免费下载。</w:t>
      </w:r>
      <w:r>
        <w:rPr>
          <w:rFonts w:hint="eastAsia" w:ascii="宋体" w:hAnsi="宋体" w:cs="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873"/>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20</w:t>
      </w:r>
      <w:r>
        <w:rPr>
          <w:rFonts w:hint="eastAsia" w:ascii="宋体" w:hAnsi="宋体" w:cs="宋体"/>
          <w:color w:val="000000"/>
          <w:sz w:val="24"/>
          <w:szCs w:val="24"/>
          <w:highlight w:val="none"/>
        </w:rPr>
        <w:t xml:space="preserve">25</w:t>
      </w:r>
      <w:r>
        <w:rPr>
          <w:rFonts w:hint="eastAsia" w:ascii="宋体" w:hAnsi="宋体"/>
          <w:color w:val="000000"/>
          <w:sz w:val="24"/>
          <w:szCs w:val="24"/>
          <w:highlight w:val="none"/>
        </w:rPr>
        <w:t xml:space="preserve">年</w:t>
      </w:r>
      <w:r>
        <w:rPr>
          <w:rFonts w:hint="eastAsia" w:ascii="宋体" w:hAnsi="宋体" w:cs="宋体"/>
          <w:color w:val="000000"/>
          <w:sz w:val="24"/>
          <w:szCs w:val="24"/>
          <w:highlight w:val="none"/>
        </w:rPr>
        <w:t xml:space="preserve">11</w:t>
      </w:r>
      <w:r>
        <w:rPr>
          <w:rFonts w:hint="eastAsia" w:ascii="宋体" w:hAnsi="宋体"/>
          <w:color w:val="000000"/>
          <w:sz w:val="24"/>
          <w:szCs w:val="24"/>
          <w:highlight w:val="none"/>
        </w:rPr>
        <w:t xml:space="preserve">月</w:t>
      </w:r>
      <w:r>
        <w:rPr>
          <w:rFonts w:hint="eastAsia" w:ascii="宋体" w:hAnsi="宋体" w:cs="宋体"/>
          <w:color w:val="000000" w:themeColor="text1"/>
          <w:sz w:val="24"/>
          <w:szCs w:val="24"/>
          <w:highlight w:val="none"/>
        </w:rPr>
        <w:t xml:space="preserve">11</w:t>
      </w:r>
      <w:r>
        <w:rPr>
          <w:rFonts w:hint="eastAsia" w:ascii="宋体" w:hAnsi="宋体"/>
          <w:color w:val="000000" w:themeColor="text1"/>
          <w:sz w:val="24"/>
          <w:szCs w:val="24"/>
          <w:highlight w:val="none"/>
        </w:rPr>
        <w:t xml:space="preserve">日</w:t>
      </w:r>
      <w:r>
        <w:rPr>
          <w:rFonts w:hint="eastAsia" w:ascii="宋体" w:hAnsi="宋体" w:cs="宋体"/>
          <w:color w:val="000000"/>
          <w:sz w:val="24"/>
          <w:szCs w:val="24"/>
          <w:highlight w:val="none"/>
        </w:rPr>
        <w:t xml:space="preserve">9</w:t>
      </w:r>
      <w:r>
        <w:rPr>
          <w:rFonts w:hint="eastAsia"/>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rPr>
          <w:rFonts w:hint="eastAsia" w:ascii="宋体" w:hAnsi="宋体" w:cs="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t xml:space="preserve">本项目不组织勘察及答疑，供应商如对采购需求有疑问，请咨询采购单位联系人。 </w:t>
      </w:r>
      <w:r>
        <w:rPr>
          <w:rFonts w:hint="eastAsia" w:ascii="宋体" w:hAnsi="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948"/>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873"/>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4.有关本次采购的事项若存在变动或修改，请及时关注“江苏政府采购网”（www.ccgp-jiangsu.gov.cn）更正公告。</w:t>
      </w:r>
      <w:r>
        <w:rPr>
          <w:rFonts w:hint="eastAsia" w:ascii="宋体" w:hAnsi="宋体" w:cs="宋体"/>
          <w:color w:val="000000"/>
          <w:sz w:val="24"/>
          <w:szCs w:val="24"/>
          <w:highlight w:val="none"/>
        </w:rPr>
      </w:r>
      <w:r/>
    </w:p>
    <w:p>
      <w:pPr>
        <w:pStyle w:val="873"/>
        <w:ind w:firstLine="482"/>
        <w:spacing w:line="25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5.供应商（含潜在供应商）对采购方式、采购需求、供应商资格条件、评审方法和评审标准、合同文本的询问或质疑向采购人提出，《质疑函》原件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采购人，由采购人负责答复。</w:t>
      </w:r>
      <w:r>
        <w:rPr>
          <w:rFonts w:hint="eastAsia" w:ascii="宋体" w:hAnsi="宋体" w:cs="宋体"/>
          <w:b/>
          <w:bCs/>
          <w:color w:val="000000"/>
          <w:sz w:val="24"/>
          <w:szCs w:val="24"/>
          <w:highlight w:val="none"/>
        </w:rPr>
      </w:r>
      <w:r/>
    </w:p>
    <w:p>
      <w:pPr>
        <w:pStyle w:val="873"/>
        <w:ind w:firstLine="482"/>
        <w:spacing w:line="25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对采购过程、采购结果的询问或质疑向交易中心提出，《质疑函》原件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交易中心，由交易中心负责答复。</w:t>
      </w:r>
      <w:r>
        <w:rPr>
          <w:rFonts w:hint="eastAsia" w:ascii="宋体" w:hAnsi="宋体" w:cs="宋体"/>
          <w:b/>
          <w:bCs/>
          <w:color w:val="000000"/>
          <w:sz w:val="24"/>
          <w:szCs w:val="24"/>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w:t>
      </w:r>
      <w:r>
        <w:rPr>
          <w:rFonts w:ascii="宋体" w:hAnsi="宋体"/>
          <w:color w:val="000000"/>
          <w:sz w:val="24"/>
          <w:szCs w:val="24"/>
          <w:highlight w:val="none"/>
        </w:rPr>
        <w:t xml:space="preserve">南京市规划和自然资源局</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南京市鼓楼区中山路 171 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t xml:space="preserve">倪海海</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rPr>
        <w:t xml:space="preserve">025-89691508 </w:t>
      </w:r>
      <w:bookmarkStart w:id="6" w:name="_Toc28359086"/>
      <w:r/>
      <w:bookmarkStart w:id="7" w:name="_Toc28359009"/>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6"/>
      <w:r/>
      <w:bookmarkEnd w:id="7"/>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73"/>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联系人：徐先生</w:t>
      </w:r>
      <w:r>
        <w:rPr>
          <w:rFonts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联系电话：025-68505913 </w:t>
      </w: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供应商须知</w:t>
      </w:r>
      <w:r>
        <w:rPr>
          <w:rFonts w:hint="eastAsia" w:ascii="方正小标宋简体" w:hAnsi="方正小标宋简体" w:eastAsia="方正小标宋简体" w:cs="方正小标宋简体"/>
          <w:color w:val="000000"/>
          <w:sz w:val="36"/>
          <w:szCs w:val="36"/>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8" w:name="_Toc20823275"/>
      <w:r/>
      <w:bookmarkStart w:id="9" w:name="_Toc120614214"/>
      <w:r/>
      <w:bookmarkStart w:id="10" w:name="_Toc16938519"/>
      <w:r/>
      <w:bookmarkStart w:id="11" w:name="_Toc513029203"/>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1.采购方式</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本次政府采购活动采取竞争性磋商(以下简称“磋商”)方式，本文件仅适用于采购公告中所述项目。</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2.合格的供应商</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 满足采购公告对供应商资格要求的规定。</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 满足磋商文件规定的实质性要求和条件。</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3.适用法律</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3.1 本次采购及由此产生的合同受中华人民共和国有关的法律法规制约和保护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4.磋商费用</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4.1 供应商应自行承担所有与参加采购有关的费用，无论采购过程中的做法和结果如何，</w:t>
      </w:r>
      <w:r>
        <w:rPr>
          <w:rFonts w:hint="eastAsia" w:ascii="宋体" w:hAnsi="宋体"/>
          <w:color w:val="000000"/>
          <w:sz w:val="24"/>
          <w:highlight w:val="none"/>
        </w:rPr>
        <w:t xml:space="preserve">交易中心</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4.2 本次采购交易中心和采购人不收取磋商文件工本费与成交服务费。</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5.磋商文件的约束力</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5.1 供应商一旦参加本项目采购活动，即被认为接受了本文件的规定和约束。</w:t>
      </w:r>
      <w:r>
        <w:rPr>
          <w:rFonts w:hint="eastAsia" w:ascii="宋体" w:hAnsi="宋体"/>
          <w:color w:val="000000"/>
          <w:sz w:val="24"/>
          <w:szCs w:val="21"/>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rPr>
          <w:rFonts w:hint="eastAsia"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6.磋商文件构成</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6.1 磋商文件由以下部分组成：</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（1）磋商邀请</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（2）供应商须知</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（3）合同文本</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（4）采购需求</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（5）评审方法与评审标准</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（6）响应文件格式</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供应商应仔细检查磋商文件是否齐全，如有缺漏请立即与交易中心联系。</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7.磋商文件的澄清</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7.1 任何要求对磋商文件进行澄清的供应商，应在磋商截止期五日前按采购公告中的通讯地址，以书面形式通知交易中心。</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8.磋商文件的修改</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8.3 交易中心有权按照法定的要求推迟提交响应文件截止时间，并在原公告媒体发布更正公告。</w:t>
      </w:r>
      <w:r>
        <w:rPr>
          <w:rFonts w:hint="eastAsia" w:ascii="宋体" w:hAnsi="宋体"/>
          <w:color w:val="000000"/>
          <w:sz w:val="24"/>
          <w:szCs w:val="21"/>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9.响应文件的语言及度量衡单位</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9.1 供应商提交的响应文件以及供应商与交易中心就有关磋商的所有来往通知、函件和文件均应使用简体中文。</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9.2 除技术性能另有规定外，响应文件所使用的度量衡单位，均须采用国家法定计量单位。</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10.响应文件构成</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如标书制作工具中格式和内容与“江苏政府采购网”发布的磋商文件不一致，以“江苏政府采购网”发布的磋商文件为准。</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11.证明磋商响应标的符合磋商文件规定的文件</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11.1 供应商</w:t>
      </w:r>
      <w:r>
        <w:rPr>
          <w:rFonts w:hint="eastAsia" w:ascii="宋体" w:hAnsi="宋体"/>
          <w:color w:val="000000"/>
          <w:sz w:val="24"/>
          <w:highlight w:val="none"/>
        </w:rPr>
        <w:t xml:space="preserve">应按照法律、法规、规章和规范性文件以及</w:t>
      </w:r>
      <w:r>
        <w:rPr>
          <w:rFonts w:hint="eastAsia" w:ascii="宋体" w:hAnsi="宋体"/>
          <w:color w:val="000000"/>
          <w:sz w:val="24"/>
          <w:szCs w:val="21"/>
          <w:highlight w:val="none"/>
        </w:rPr>
        <w:t xml:space="preserve">磋商文件要求提交证明文件，证明其响应标的符合磋商文件规定。</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11.2 磋商文件对证明文件无明确形式要求的，证明文件可以以文字资料、图纸和数据等形式提交。</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12.分项报价表</w:t>
      </w:r>
      <w:r>
        <w:rPr>
          <w:rFonts w:hint="eastAsia" w:ascii="方正楷体_GBK" w:hAnsi="方正楷体_GBK" w:eastAsia="方正楷体_GBK" w:cs="方正楷体_GBK"/>
          <w:color w:val="000000"/>
          <w:highlight w:val="none"/>
          <w:lang w:val="zh-CN"/>
        </w:rPr>
        <w:t xml:space="preserve">（如有）</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12.1 供应商应按照磋商文件规定格式填报分项报价表。</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12.2 响应文件中的单价和总价无特殊规定的采用人民币报价，以元为单位标注。磋商文件另有规定的按规定执行。</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供应商需对磋商文件中的技术要求与商务要求逐项作出响应或偏离说明。</w:t>
      </w:r>
      <w:r>
        <w:rPr>
          <w:rFonts w:hint="eastAsia" w:ascii="宋体" w:hAnsi="宋体"/>
          <w:color w:val="000000"/>
          <w:sz w:val="24"/>
          <w:szCs w:val="21"/>
          <w:highlight w:val="none"/>
          <w:lang w:val="zh-CN"/>
        </w:rPr>
      </w:r>
      <w:r/>
    </w:p>
    <w:p>
      <w:pPr>
        <w:pStyle w:val="873"/>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13.2</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供应商可在响应文件中提供认为需要的其他技术文件或说明。</w:t>
      </w:r>
      <w:r>
        <w:rPr>
          <w:rFonts w:hint="eastAsia" w:ascii="宋体" w:hAnsi="宋体"/>
          <w:color w:val="000000"/>
          <w:sz w:val="24"/>
          <w:szCs w:val="21"/>
          <w:highlight w:val="none"/>
          <w:lang w:val="zh-CN"/>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14.磋商响应函</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供应商应按照磋商文件规定格式完整、正确填报磋商响应函。</w:t>
      </w:r>
      <w:r>
        <w:rPr>
          <w:rFonts w:hint="eastAsia" w:ascii="宋体" w:hAnsi="宋体"/>
          <w:color w:val="000000"/>
          <w:sz w:val="24"/>
          <w:szCs w:val="21"/>
          <w:highlight w:val="none"/>
          <w:lang w:val="zh-CN"/>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15.磋商有效期</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15.1 磋商有效期为采购公告规定的提交响应文件截止之日起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。磋商有效期比规定短的将被视为非实质性响应磋商文件而被拒绝。</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16.磋商有效期的延长</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17.响应文件的递交</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17.1 供应商应当按照《操作手册》规定，在采购公告规定的提交响应文件截止时间前制作并上传电子响应文件。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17.2 供应商应充分考虑网络环境、网络带宽等因素</w:t>
      </w:r>
      <w:r>
        <w:rPr>
          <w:rFonts w:hint="eastAsia" w:ascii="宋体" w:hAnsi="宋体"/>
          <w:color w:val="000000"/>
          <w:sz w:val="24"/>
          <w:highlight w:val="none"/>
        </w:rPr>
        <w:t xml:space="preserve">可能产生的影响</w:t>
      </w:r>
      <w:r>
        <w:rPr>
          <w:rFonts w:hint="eastAsia" w:ascii="宋体" w:hAnsi="宋体"/>
          <w:color w:val="000000"/>
          <w:sz w:val="24"/>
          <w:szCs w:val="21"/>
          <w:highlight w:val="none"/>
        </w:rPr>
        <w:t xml:space="preserve">，如因供应商自身原因造成的电子响应文件上传不成功的，按照本磋商文件第二章第24.3条规定做无效响应处理。</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17.3 交易中心可以按照规定，通过修改磋商文件酌情延长提交响应文件截止日期，在此情况下，供应商的所有权利和义务均以延长后新的截止日期为准。</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18.响应文件的拒收</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18.1 提交响应文件截止时间后上传的任何响应文件将被拒绝。</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19.响应文件的撤回和修改</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19.1 响应文件的撤回</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19.1.1 供应商可在提交响应文件截止时间前撤回其电子响应文件，具体操作方法见《操作手册》。</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19.1.2 供应商撤回电子响应文件，则认为其不再参与本项目磋商活动。</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19.2 响应文件的修改</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19.2.1 供应商可在提交响应文件截止时间前对其电子响应文件进行修改，具体操作方法见《操作手册》。</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19.2.2 提交响应文件截止时间之后，供应商不得对其电子响应文件作任何修改。</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19.3 在提交响应文件截止时间至磋商文件中规定的磋商有效期满之间的这段时间内，供应商不得撤回其响应文件。</w:t>
      </w:r>
      <w:r>
        <w:rPr>
          <w:rFonts w:hint="eastAsia" w:ascii="宋体" w:hAnsi="宋体"/>
          <w:color w:val="000000"/>
          <w:sz w:val="24"/>
          <w:szCs w:val="21"/>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20.响应文件解密</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20.1 供应商应当按照《操作手册》规定，在苏采云系统规定的时间内对响应文件进行解密。</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21.磋商</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21.1 依法组建的磋商小组对响应文件进行评审。</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21.2 磋商小组由采购人代表和有关方面专家组成，人员构成符合政府采购有关规定。</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21.3 磋商小组独立工作，负责评审所有响应文件并推荐成交候选人，或根据采购人授权直接确定成交供应商。</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22.评审过程的保密与公正</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22.2 供应商不得以任何方式影响评审过程，否则其响应文件将被作为无效响应文件。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22.3 交易中心和磋商小组不向未成交的供应商解释未成交原因，也不公布评审过程中的相关细节。</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23.评审过程中的澄清</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供应商的澄清、说明或者补正不得超出响应文件的范围或者改变响应文件的实质性内容。</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磋商小组并非对每个供应商都做澄清要求。</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23.2 需要供应商进行澄清、说明和补正的，磋商小组将通过苏采云系统向供应商发出</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，接到</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的供应商应当按照要求在苏采云系统中提交</w:t>
      </w:r>
      <w:r>
        <w:rPr>
          <w:rFonts w:hint="eastAsia" w:ascii="宋体" w:hAnsi="宋体"/>
          <w:color w:val="000000"/>
          <w:sz w:val="24"/>
          <w:highlight w:val="none"/>
          <w:lang w:val="zh-CN"/>
        </w:rPr>
        <w:t xml:space="preserve">《澄清响应函》</w:t>
      </w:r>
      <w:r>
        <w:rPr>
          <w:rFonts w:hint="eastAsia" w:ascii="宋体" w:hAnsi="宋体"/>
          <w:color w:val="000000"/>
          <w:sz w:val="24"/>
          <w:szCs w:val="21"/>
          <w:highlight w:val="none"/>
        </w:rPr>
        <w:t xml:space="preserve">并加盖电子公章。澄清、说明和补正的内容作为响应文件的补充部分，具体操作方式见《操作手册》。</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23.3 接到磋商小组澄清、说明和补正要求的供应商如未按规定做出澄清、说明和补正，其风险由供应商自行承担。</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24.响应文件的审查</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 响应文件审查分为资格审查和符合性审查。</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hint="eastAsia" w:ascii="宋体" w:hAnsi="宋体"/>
          <w:color w:val="000000"/>
          <w:sz w:val="24"/>
          <w:highlight w:val="none"/>
          <w:lang w:val="zh-CN"/>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highlight w:val="none"/>
          <w:lang w:val="zh-CN"/>
        </w:rPr>
      </w:r>
      <w:r/>
    </w:p>
    <w:p>
      <w:pPr>
        <w:pStyle w:val="873"/>
        <w:ind w:firstLine="420"/>
        <w:rPr>
          <w:rFonts w:hint="eastAsia" w:ascii="宋体" w:hAnsi="宋体"/>
          <w:color w:val="000000"/>
          <w:sz w:val="24"/>
          <w:szCs w:val="21"/>
          <w:highlight w:val="none"/>
        </w:rPr>
      </w:pPr>
      <w:r>
        <w:rPr>
          <w:rFonts w:hint="eastAsia" w:ascii="宋体" w:hAnsi="宋体"/>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磋商小组</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w:t>
      </w:r>
      <w:r>
        <w:rPr>
          <w:rFonts w:hint="eastAsia" w:ascii="宋体" w:hAnsi="宋体"/>
          <w:color w:val="000000"/>
          <w:sz w:val="24"/>
          <w:szCs w:val="21"/>
          <w:highlight w:val="none"/>
        </w:rPr>
        <w:t xml:space="preserve">磋商小组</w:t>
      </w:r>
      <w:r>
        <w:rPr>
          <w:rFonts w:hint="eastAsia" w:ascii="宋体" w:hAnsi="宋体"/>
          <w:color w:val="000000"/>
          <w:sz w:val="24"/>
          <w:highlight w:val="none"/>
        </w:rPr>
        <w:t xml:space="preserve">认</w:t>
      </w:r>
      <w:r>
        <w:rPr>
          <w:rFonts w:hint="eastAsia" w:ascii="宋体" w:hAnsi="宋体"/>
          <w:color w:val="000000"/>
          <w:sz w:val="24"/>
          <w:highlight w:val="none"/>
          <w:lang w:val="zh-CN"/>
        </w:rPr>
        <w:t xml:space="preserve">定响应文件的响应性只根据响应文件本身的内容，而不寻求外部的证据。</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 未实质性响应磋商文件的情形</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 供应商在苏采云系统规定的时间内未成功解密电子响应文件。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24.3.2 供应商未按照磋商文件要求上传电子响应文件。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24.3.3 同一供应商提交两个（含两个）以上不同的响应文件或者最后报价。</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24.3.4 供应商不具备磋商文件中规定的资格要求。</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24.3.5 供应商的最后报价超过了采购预算或最高限价或单价上限。</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24.3.6 不符合磋商文件中规定的实质性要求和条件（</w:t>
      </w:r>
      <w:r>
        <w:rPr>
          <w:rFonts w:hint="eastAsia" w:ascii="宋体" w:hAnsi="宋体"/>
          <w:b/>
          <w:bCs/>
          <w:color w:val="000000"/>
          <w:sz w:val="24"/>
          <w:szCs w:val="21"/>
          <w:highlight w:val="none"/>
        </w:rPr>
        <w:t xml:space="preserve">本文件中斜体且有下划线部分</w:t>
      </w:r>
      <w:r>
        <w:rPr>
          <w:rFonts w:hint="eastAsia" w:ascii="宋体" w:hAnsi="宋体"/>
          <w:b/>
          <w:bCs/>
          <w:color w:val="000000"/>
          <w:sz w:val="24"/>
          <w:szCs w:val="21"/>
          <w:highlight w:val="none"/>
          <w:lang w:val="zh-CN"/>
        </w:rPr>
        <w:t xml:space="preserve">或者打“</w:t>
      </w:r>
      <w:r>
        <w:rPr>
          <w:rFonts w:hint="eastAsia" w:ascii="宋体" w:hAnsi="宋体"/>
          <w:b/>
          <w:bCs/>
          <w:color w:val="000000"/>
          <w:sz w:val="24"/>
          <w:szCs w:val="21"/>
          <w:highlight w:val="none"/>
        </w:rPr>
        <w:t xml:space="preserve">★</w:t>
      </w:r>
      <w:r>
        <w:rPr>
          <w:rFonts w:hint="eastAsia" w:ascii="宋体" w:hAnsi="宋体"/>
          <w:b/>
          <w:bCs/>
          <w:color w:val="000000"/>
          <w:sz w:val="24"/>
          <w:szCs w:val="21"/>
          <w:highlight w:val="none"/>
          <w:lang w:val="zh-CN"/>
        </w:rPr>
        <w:t xml:space="preserve">”内容，</w:t>
      </w:r>
      <w:r>
        <w:rPr>
          <w:rFonts w:hint="eastAsia" w:ascii="宋体" w:hAnsi="宋体"/>
          <w:b/>
          <w:bCs/>
          <w:color w:val="000000"/>
          <w:sz w:val="24"/>
          <w:szCs w:val="21"/>
          <w:highlight w:val="none"/>
        </w:rPr>
        <w:t xml:space="preserve">为实质性要求和条件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24.3.8 响应文件含有采购人不能接受的附加条件。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24.3.9 </w:t>
      </w:r>
      <w:r>
        <w:rPr>
          <w:rFonts w:hint="eastAsia" w:ascii="宋体" w:hAnsi="宋体"/>
          <w:color w:val="000000"/>
          <w:sz w:val="24"/>
          <w:highlight w:val="none"/>
        </w:rPr>
        <w:t xml:space="preserve">磋商小组</w:t>
      </w:r>
      <w:r>
        <w:rPr>
          <w:rFonts w:hint="eastAsia" w:ascii="宋体" w:hAnsi="宋体"/>
          <w:color w:val="000000"/>
          <w:sz w:val="24"/>
          <w:highlight w:val="none"/>
          <w:lang w:val="zh-CN"/>
        </w:rPr>
        <w:t xml:space="preserve">发现</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报价低于采购项目预算50%，或者低于采购项目最高限价45%，或者认为</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的报价过低，有可能影响产品或服务质量或不能诚信履约的，应当启动异常低价投标审查机制，通过苏采云系统要求</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在合理的时间内提供项目具体成本测算等与报价合理性相关的书面说明及相关证明材料。</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不提供书面说明及证明材料，或者书面说明、证明材料不能证明其报价合理性的，</w:t>
      </w:r>
      <w:r>
        <w:rPr>
          <w:rFonts w:hint="eastAsia" w:ascii="宋体" w:hAnsi="宋体"/>
          <w:color w:val="000000"/>
          <w:sz w:val="24"/>
          <w:highlight w:val="none"/>
        </w:rPr>
        <w:t xml:space="preserve">磋商小组</w:t>
      </w:r>
      <w:r>
        <w:rPr>
          <w:rFonts w:hint="eastAsia" w:ascii="宋体" w:hAnsi="宋体"/>
          <w:color w:val="000000"/>
          <w:sz w:val="24"/>
          <w:highlight w:val="none"/>
          <w:lang w:val="zh-CN"/>
        </w:rPr>
        <w:t xml:space="preserve">应当将其作为无效</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处理。</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24.3.10 </w:t>
      </w:r>
      <w:r>
        <w:rPr>
          <w:rFonts w:hint="eastAsia" w:ascii="宋体" w:hAnsi="宋体"/>
          <w:color w:val="000000"/>
          <w:sz w:val="24"/>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24.3.11 响应文件未按照磋商文件要求加盖电子公章。</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24.3.12 法律法规及本磋商文件规定的其他无效响应的情形。</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 未实质性响应磋商文件的响应文件按无效响应处理。</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24.6 供应商在项目评审全过程中应保持通讯畅通，</w:t>
      </w:r>
      <w:r>
        <w:rPr>
          <w:rFonts w:hint="eastAsia" w:ascii="宋体" w:hAnsi="宋体"/>
          <w:color w:val="000000"/>
          <w:sz w:val="24"/>
          <w:highlight w:val="none"/>
          <w:lang w:val="zh-CN"/>
        </w:rPr>
        <w:t xml:space="preserve">及时登录苏采云系统查阅、答复相关信息，并安排专人与交易中心及磋商小组联系。</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25.磋商程序及评审方法与评审标准</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 磋商程序</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 评审方法与评审标准</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25.2.1 评审方法。见磋商文件第五章。</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25.2.2 评审标准。见磋商文件第五章。</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 采购活动终止</w:t>
      </w:r>
      <w:r>
        <w:rPr>
          <w:rFonts w:hint="eastAsia" w:ascii="宋体" w:hAnsi="宋体"/>
          <w:color w:val="000000"/>
          <w:sz w:val="24"/>
          <w:szCs w:val="21"/>
          <w:highlight w:val="none"/>
        </w:rPr>
      </w:r>
      <w:r/>
    </w:p>
    <w:p>
      <w:pPr>
        <w:pStyle w:val="873"/>
        <w:ind w:firstLine="422"/>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出现下列情形之一的，本次采购活动终止：</w:t>
      </w:r>
      <w:r>
        <w:rPr>
          <w:rFonts w:hint="eastAsia" w:ascii="宋体" w:hAnsi="宋体"/>
          <w:b/>
          <w:bCs/>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25.3.1 因情况变化，不再符合竞争性磋商采购方式适用情形。</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25.3.2 出现影响采购公正的违法、违规行为。</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25.3.3 在苏采云系统规定时间内成功解密电子响应文件的供应商不足三家。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25.3.4 磋商过程中符合要求的供应商或者提交最后报价且未超过采购预算或最高限价的供应商不足三家。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5</w:t>
      </w:r>
      <w:r>
        <w:rPr>
          <w:rFonts w:hint="eastAsia" w:ascii="宋体" w:hAnsi="宋体"/>
          <w:color w:val="000000"/>
          <w:sz w:val="24"/>
          <w:szCs w:val="21"/>
          <w:highlight w:val="none"/>
          <w:lang w:val="zh-CN"/>
        </w:rPr>
        <w:t xml:space="preserve">.3.5</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法律法规规定的其他应当终止情形。</w:t>
      </w:r>
      <w:r>
        <w:rPr>
          <w:rFonts w:hint="eastAsia" w:ascii="宋体" w:hAnsi="宋体"/>
          <w:color w:val="000000"/>
          <w:sz w:val="24"/>
          <w:szCs w:val="21"/>
          <w:highlight w:val="none"/>
          <w:lang w:val="zh-CN"/>
        </w:rPr>
      </w:r>
      <w:r/>
    </w:p>
    <w:p>
      <w:pPr>
        <w:pStyle w:val="873"/>
        <w:ind w:firstLine="420"/>
        <w:rPr>
          <w:rFonts w:ascii="宋体" w:hAnsi="宋体"/>
          <w:color w:val="000000"/>
          <w:sz w:val="24"/>
          <w:highlight w:val="none"/>
        </w:rPr>
      </w:pPr>
      <w:r>
        <w:rPr>
          <w:rFonts w:hint="eastAsia" w:ascii="宋体" w:hAnsi="宋体"/>
          <w:color w:val="000000"/>
          <w:sz w:val="24"/>
          <w:highlight w:val="none"/>
          <w:lang w:val="zh-CN"/>
        </w:rPr>
        <w:t xml:space="preserve">25.4 如出现25.</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或25.3</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情形，</w:t>
      </w: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活动失败，</w:t>
      </w:r>
      <w:r>
        <w:rPr>
          <w:rFonts w:hint="eastAsia" w:ascii="宋体" w:hAnsi="宋体"/>
          <w:color w:val="000000"/>
          <w:sz w:val="24"/>
          <w:highlight w:val="none"/>
        </w:rPr>
        <w:t xml:space="preserve">磋商小组应</w:t>
      </w:r>
      <w:r>
        <w:rPr>
          <w:rFonts w:hint="eastAsia" w:ascii="宋体" w:hAnsi="宋体"/>
          <w:color w:val="000000"/>
          <w:sz w:val="24"/>
          <w:highlight w:val="none"/>
          <w:lang w:bidi="ar"/>
        </w:rPr>
        <w:t xml:space="preserve">对磋商</w:t>
      </w:r>
      <w:r>
        <w:rPr>
          <w:rFonts w:hint="eastAsia" w:ascii="宋体" w:hAnsi="宋体"/>
          <w:color w:val="000000"/>
          <w:sz w:val="24"/>
          <w:highlight w:val="none"/>
          <w:lang w:val="zh-CN" w:bidi="ar"/>
        </w:rPr>
        <w:t xml:space="preserve">文件是否存在不合理条款</w:t>
      </w:r>
      <w:r>
        <w:rPr>
          <w:rFonts w:hint="eastAsia" w:ascii="宋体" w:hAnsi="宋体"/>
          <w:color w:val="000000"/>
          <w:sz w:val="24"/>
          <w:highlight w:val="none"/>
          <w:lang w:bidi="ar"/>
        </w:rPr>
        <w:t xml:space="preserve">进行论证，并在评审报告中写明</w:t>
      </w:r>
      <w:r>
        <w:rPr>
          <w:rFonts w:hint="eastAsia" w:ascii="宋体" w:hAnsi="宋体"/>
          <w:color w:val="000000"/>
          <w:sz w:val="24"/>
          <w:highlight w:val="none"/>
          <w:lang w:val="zh-CN" w:bidi="ar"/>
        </w:rPr>
        <w:t xml:space="preserve">论证意见。</w:t>
      </w:r>
      <w:r>
        <w:rPr>
          <w:rFonts w:ascii="宋体" w:hAnsi="宋体"/>
          <w:color w:val="000000"/>
          <w:sz w:val="24"/>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26.确定成交单位</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26.1 成交候选供应商的确定原则和数量见磋商文件第五章。</w:t>
      </w:r>
      <w:r>
        <w:rPr>
          <w:rFonts w:hint="eastAsia" w:ascii="宋体" w:hAnsi="宋体"/>
          <w:color w:val="000000"/>
          <w:sz w:val="24"/>
          <w:szCs w:val="21"/>
          <w:highlight w:val="none"/>
        </w:rPr>
      </w:r>
      <w:r/>
    </w:p>
    <w:p>
      <w:pPr>
        <w:pStyle w:val="873"/>
        <w:ind w:firstLine="420"/>
        <w:rPr>
          <w:rFonts w:ascii="宋体" w:hAnsi="宋体"/>
          <w:color w:val="000000"/>
          <w:sz w:val="24"/>
          <w:szCs w:val="24"/>
          <w:highlight w:val="none"/>
        </w:rPr>
      </w:pPr>
      <w:r>
        <w:rPr>
          <w:rFonts w:hint="eastAsia" w:ascii="宋体" w:hAnsi="宋体"/>
          <w:color w:val="000000"/>
          <w:sz w:val="24"/>
          <w:szCs w:val="21"/>
          <w:highlight w:val="none"/>
        </w:rPr>
        <w:t xml:space="preserve">26.2 </w:t>
      </w:r>
      <w:r>
        <w:rPr>
          <w:rFonts w:hint="eastAsia" w:ascii="宋体" w:hAnsi="宋体"/>
          <w:color w:val="000000"/>
          <w:sz w:val="24"/>
          <w:szCs w:val="21"/>
          <w:highlight w:val="none"/>
          <w:lang w:val="zh-CN"/>
        </w:rPr>
        <w:t xml:space="preserve">按以下第（</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）种方式确定</w:t>
      </w:r>
      <w:r>
        <w:rPr>
          <w:rFonts w:hint="eastAsia" w:ascii="宋体" w:hAnsi="宋体"/>
          <w:color w:val="000000"/>
          <w:sz w:val="24"/>
          <w:szCs w:val="21"/>
          <w:highlight w:val="none"/>
        </w:rPr>
        <w:t xml:space="preserve">成交供应商</w:t>
      </w:r>
      <w:r>
        <w:rPr>
          <w:rFonts w:ascii="宋体" w:hAnsi="宋体"/>
          <w:color w:val="000000"/>
          <w:sz w:val="24"/>
          <w:szCs w:val="24"/>
          <w:highlight w:val="none"/>
        </w:rPr>
      </w:r>
      <w:r/>
    </w:p>
    <w:p>
      <w:pPr>
        <w:pStyle w:val="873"/>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直接确定排名第一的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为</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873"/>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（2）采购人在</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873"/>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按第二种方式确定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26.3 交易中心将在“江苏政府采购网”发布成交结果公告，公告期限为1个工作日。</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 </w:t>
      </w:r>
      <w:r>
        <w:rPr>
          <w:rFonts w:hint="eastAsia" w:ascii="宋体" w:hAnsi="宋体"/>
          <w:b/>
          <w:bCs/>
          <w:color w:val="000000"/>
          <w:sz w:val="24"/>
          <w:szCs w:val="21"/>
          <w:highlight w:val="none"/>
        </w:rPr>
        <w:t xml:space="preserve">若有充分证据证明成交供应商有下列情况之一的，一经查实将被取消成交资格：</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26.4.1 提供虚假材料谋取成交。</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26.4.2 向评审专家、采购人或交易中心工作人员行贿或者提供其他不正当利益。</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26.4.3 与其他供应商、评审专家、采购人或交易中心工作人员恶意串通。</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26.4.4 不满足本磋商文件规定的实质性要求，但在评审过程中未被磋商小组发现。</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26.4.5 采取不正当手段诋毁、排挤其他供应商。</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27.成交通知书</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27.1 成交结果确定后，交易中心将向成交供应商发出《成交通知书》。成交供应商可在成交结果公告届满之日起三十日内，登录苏采云系统下载。    </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873"/>
        <w:ind w:firstLine="420"/>
        <w:rPr>
          <w:rFonts w:ascii="宋体" w:hAnsi="宋体"/>
          <w:color w:val="000000"/>
          <w:sz w:val="24"/>
          <w:highlight w:val="none"/>
        </w:rPr>
      </w:pPr>
      <w:r>
        <w:rPr>
          <w:rFonts w:hint="eastAsia" w:ascii="宋体" w:hAnsi="宋体"/>
          <w:color w:val="000000"/>
          <w:sz w:val="24"/>
          <w:szCs w:val="21"/>
          <w:highlight w:val="none"/>
        </w:rPr>
        <w:t xml:space="preserve">28.l 成交供应商应当在《成交通知书》发出之日起三十日内，按照磋商文件确定的事项与采购人签订政府采购合同。</w:t>
      </w:r>
      <w:r>
        <w:rPr>
          <w:rFonts w:hint="eastAsia" w:ascii="宋体" w:hAnsi="宋体"/>
          <w:color w:val="000000"/>
          <w:sz w:val="24"/>
          <w:highlight w:val="none"/>
        </w:rPr>
        <w:t xml:space="preserve">采购人于合同签订后2个工作日内通过苏采云系统进行公示。</w:t>
      </w:r>
      <w:r>
        <w:rPr>
          <w:rFonts w:ascii="宋体" w:hAnsi="宋体"/>
          <w:color w:val="000000"/>
          <w:sz w:val="24"/>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28.2 磋商文件、成交供应商的响应文件及磋商过程中有关澄清、承诺文件均作为合同附件。</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28.4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30.1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73"/>
        <w:ind w:firstLine="42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对采购文件提出质疑的，为收到采购文件之日或者采购文件公告期限届满之日。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供应商（含潜在供应商）对采购方式、采购需求、供应商资格条件、评审方法与评审标准、合同文本的询问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color w:val="000000"/>
          <w:sz w:val="24"/>
          <w:highlight w:val="none"/>
          <w:lang w:val="zh-CN"/>
        </w:rPr>
        <w:t xml:space="preserve">供应商对</w:t>
      </w:r>
      <w:r>
        <w:rPr>
          <w:rFonts w:hint="eastAsia" w:ascii="宋体" w:hAnsi="宋体"/>
          <w:color w:val="000000"/>
          <w:sz w:val="24"/>
          <w:highlight w:val="none"/>
        </w:rPr>
        <w:t xml:space="preserve">采购过程、采购结果</w:t>
      </w:r>
      <w:r>
        <w:rPr>
          <w:rFonts w:hint="eastAsia" w:ascii="宋体" w:hAnsi="宋体"/>
          <w:color w:val="000000"/>
          <w:sz w:val="24"/>
          <w:highlight w:val="none"/>
          <w:lang w:val="zh-CN"/>
        </w:rPr>
        <w:t xml:space="preserve">的询问</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质疑向交易中心提出，由交易中心负责答复。</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3"/>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w:t>
      </w:r>
      <w:r>
        <w:rPr>
          <w:rFonts w:hint="eastAsia" w:ascii="宋体" w:hAnsi="宋体"/>
          <w:b/>
          <w:bCs/>
          <w:color w:val="000000"/>
          <w:sz w:val="24"/>
          <w:highlight w:val="none"/>
        </w:rPr>
        <w:t xml:space="preserve">函</w:t>
      </w:r>
      <w:r>
        <w:rPr>
          <w:rFonts w:hint="eastAsia" w:ascii="宋体" w:hAnsi="宋体"/>
          <w:b/>
          <w:bCs/>
          <w:color w:val="000000"/>
          <w:sz w:val="24"/>
          <w:highlight w:val="none"/>
          <w:lang w:val="zh-CN"/>
        </w:rPr>
        <w:t xml:space="preserve">》接收人及联系方式见采购文件第一章。</w:t>
      </w:r>
      <w:r>
        <w:rPr>
          <w:rFonts w:hint="eastAsia" w:ascii="宋体" w:hAnsi="宋体"/>
          <w:b/>
          <w:bCs/>
          <w:color w:val="000000"/>
          <w:sz w:val="24"/>
          <w:highlight w:val="none"/>
          <w:lang w:val="zh-CN"/>
        </w:rPr>
      </w:r>
      <w:r/>
    </w:p>
    <w:p>
      <w:pPr>
        <w:pStyle w:val="873"/>
        <w:ind w:firstLine="420"/>
        <w:rPr>
          <w:rFonts w:hint="eastAsia" w:ascii="宋体" w:hAnsi="宋体"/>
          <w:color w:val="000000"/>
          <w:sz w:val="24"/>
          <w:highlight w:val="none"/>
        </w:rPr>
      </w:pPr>
      <w:r>
        <w:rPr>
          <w:rFonts w:hint="eastAsia" w:ascii="宋体" w:hAnsi="宋体"/>
          <w:color w:val="000000"/>
          <w:sz w:val="24"/>
          <w:highlight w:val="none"/>
          <w:lang w:val="zh-CN"/>
        </w:rPr>
        <w:t xml:space="preserve">交易中心《质疑函》接收部门为政府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3"/>
        <w:ind w:firstLine="422"/>
        <w:rPr>
          <w:rFonts w:hint="eastAsia" w:ascii="宋体" w:hAnsi="宋体"/>
          <w:b/>
          <w:bCs/>
          <w:color w:val="000000"/>
          <w:sz w:val="24"/>
          <w:highlight w:val="none"/>
          <w:lang w:val="zh-CN"/>
        </w:rPr>
      </w:pPr>
      <w:r>
        <w:rPr>
          <w:rFonts w:hint="eastAsia" w:ascii="宋体" w:hAnsi="宋体"/>
          <w:b/>
          <w:bCs/>
          <w:color w:val="000000"/>
          <w:sz w:val="24"/>
          <w:highlight w:val="none"/>
        </w:rPr>
        <w:t xml:space="preserve">由采购人负责答复的质疑，采购人将《质疑答复函》抄送交易中心。</w:t>
      </w:r>
      <w:r>
        <w:rPr>
          <w:rFonts w:hint="eastAsia" w:ascii="宋体" w:hAnsi="宋体"/>
          <w:b/>
          <w:bCs/>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内容不符合《政府采购质疑和投诉办法》第十二条规定的质疑。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超出政府采购法定期限的质疑。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以传真、电子邮件等方式递交的非原件形式的质疑。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未参加采购活动或在采购活动中自身权益未受到损害的供应商所提出的质疑。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供应商组成联合体参加采购活动，联合体中任何一方或多方未按要求签字或盖章、加盖公章的质疑。</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76"/>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w:t>
      </w:r>
      <w:r>
        <w:rPr>
          <w:rFonts w:hint="eastAsia" w:ascii="宋体" w:hAnsi="宋体"/>
          <w:color w:val="000000"/>
          <w:sz w:val="24"/>
          <w:highlight w:val="none"/>
          <w:lang w:val="zh-CN"/>
        </w:rPr>
        <w:t xml:space="preserve">服务由中小企业承接的，</w:t>
      </w:r>
      <w:r>
        <w:rPr>
          <w:rFonts w:hint="eastAsia" w:ascii="宋体" w:hAnsi="宋体"/>
          <w:color w:val="000000"/>
          <w:sz w:val="24"/>
          <w:highlight w:val="none"/>
        </w:rPr>
        <w:t xml:space="preserve">参与磋商的供应商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77"/>
        <w:ind w:firstLine="420"/>
        <w:spacing w:before="0" w:after="0" w:line="240" w:lineRule="auto"/>
        <w:rPr>
          <w:rFonts w:hint="eastAsia" w:ascii="方正楷体_GBK" w:hAnsi="方正楷体_GBK" w:eastAsia="方正楷体_GBK" w:cs="方正楷体_GBK"/>
          <w:color w:val="000000"/>
          <w:highlight w:val="none"/>
          <w:lang w:val="zh-CN"/>
        </w:rPr>
      </w:pPr>
      <w:r/>
      <w:bookmarkEnd w:id="8"/>
      <w:r/>
      <w:bookmarkEnd w:id="9"/>
      <w:r/>
      <w:bookmarkEnd w:id="10"/>
      <w:r/>
      <w:bookmarkEnd w:id="11"/>
      <w:r>
        <w:rPr>
          <w:rFonts w:hint="eastAsia" w:ascii="方正楷体_GBK" w:hAnsi="方正楷体_GBK" w:eastAsia="方正楷体_GBK" w:cs="方正楷体_GBK"/>
          <w:color w:val="000000"/>
          <w:highlight w:val="none"/>
          <w:lang w:val="zh-CN"/>
        </w:rPr>
        <w:t xml:space="preserve">39.节能环保产品</w:t>
      </w:r>
      <w:r>
        <w:rPr>
          <w:rFonts w:hint="eastAsia" w:ascii="方正楷体_GBK" w:hAnsi="方正楷体_GBK" w:eastAsia="方正楷体_GBK" w:cs="方正楷体_GBK"/>
          <w:color w:val="000000"/>
          <w:highlight w:val="none"/>
          <w:lang w:val="zh-CN"/>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color w:val="000000"/>
          <w:sz w:val="24"/>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40.绿色采购</w:t>
      </w:r>
      <w:r>
        <w:rPr>
          <w:rFonts w:hint="eastAsia" w:ascii="方正楷体_GBK" w:hAnsi="方正楷体_GBK" w:eastAsia="方正楷体_GBK" w:cs="方正楷体_GBK"/>
          <w:color w:val="000000"/>
          <w:highlight w:val="none"/>
          <w:lang w:val="zh-CN"/>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41.创新产品采购</w:t>
      </w:r>
      <w:r>
        <w:rPr>
          <w:rFonts w:hint="eastAsia" w:ascii="方正楷体_GBK" w:hAnsi="方正楷体_GBK" w:eastAsia="方正楷体_GBK" w:cs="方正楷体_GBK"/>
          <w:color w:val="000000"/>
          <w:highlight w:val="none"/>
          <w:lang w:val="zh-CN"/>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42.网络产品、市场准入类产品采购</w:t>
      </w:r>
      <w:r>
        <w:rPr>
          <w:rFonts w:hint="eastAsia" w:ascii="方正楷体_GBK" w:hAnsi="方正楷体_GBK" w:eastAsia="方正楷体_GBK" w:cs="方正楷体_GBK"/>
          <w:color w:val="000000"/>
          <w:highlight w:val="none"/>
          <w:lang w:val="zh-CN"/>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42.1 本</w:t>
      </w:r>
      <w:r>
        <w:rPr>
          <w:rFonts w:hint="eastAsia" w:ascii="宋体" w:hAnsi="宋体"/>
          <w:color w:val="000000"/>
          <w:sz w:val="24"/>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color w:val="000000"/>
          <w:sz w:val="24"/>
          <w:highlight w:val="none"/>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color w:val="000000"/>
          <w:sz w:val="24"/>
          <w:highlight w:val="none"/>
        </w:rPr>
      </w:r>
      <w:r/>
    </w:p>
    <w:p>
      <w:pPr>
        <w:pStyle w:val="877"/>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43.数据交易说明</w:t>
      </w:r>
      <w:r>
        <w:rPr>
          <w:rFonts w:hint="eastAsia" w:ascii="方正楷体_GBK" w:hAnsi="方正楷体_GBK" w:eastAsia="方正楷体_GBK" w:cs="方正楷体_GBK"/>
          <w:color w:val="000000"/>
          <w:highlight w:val="none"/>
          <w:lang w:val="zh-CN"/>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43.1 数据交易标的包括数据产品、数据服务、数据工具。</w:t>
      </w:r>
      <w:r>
        <w:rPr>
          <w:rFonts w:hint="eastAsia" w:ascii="宋体" w:hAnsi="宋体"/>
          <w:color w:val="000000"/>
          <w:sz w:val="24"/>
          <w:highlight w:val="none"/>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highlight w:val="none"/>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highlight w:val="none"/>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highlight w:val="none"/>
        </w:rPr>
      </w:r>
      <w:r/>
    </w:p>
    <w:p>
      <w:pPr>
        <w:pStyle w:val="943"/>
        <w:ind w:firstLine="480"/>
        <w:rPr>
          <w:rFonts w:hint="eastAsia"/>
          <w:color w:val="000000"/>
          <w:sz w:val="24"/>
          <w:highlight w:val="none"/>
          <w:lang w:val="zh-CN"/>
        </w:rPr>
      </w:pPr>
      <w:r>
        <w:rPr>
          <w:rFonts w:hint="eastAsia"/>
          <w:color w:val="000000"/>
          <w:sz w:val="24"/>
          <w:highlight w:val="none"/>
          <w:lang w:val="zh-CN"/>
        </w:rPr>
      </w:r>
      <w:r/>
    </w:p>
    <w:p>
      <w:pPr>
        <w:pStyle w:val="873"/>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43"/>
        <w:ind w:firstLine="480"/>
        <w:rPr>
          <w:rFonts w:hint="eastAsia"/>
          <w:color w:val="000000"/>
          <w:sz w:val="24"/>
          <w:highlight w:val="none"/>
          <w:lang w:val="zh-CN"/>
        </w:rPr>
      </w:pPr>
      <w:r>
        <w:rPr>
          <w:rFonts w:hint="eastAsia"/>
          <w:color w:val="000000"/>
          <w:sz w:val="24"/>
          <w:highlight w:val="none"/>
          <w:lang w:val="zh-CN"/>
        </w:rPr>
      </w:r>
      <w:r/>
    </w:p>
    <w:p>
      <w:pPr>
        <w:pStyle w:val="873"/>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43"/>
        <w:ind w:firstLine="480"/>
        <w:rPr>
          <w:rFonts w:hint="eastAsia"/>
          <w:color w:val="000000"/>
          <w:sz w:val="24"/>
          <w:highlight w:val="none"/>
          <w:lang w:val="zh-CN"/>
        </w:rPr>
      </w:pPr>
      <w:r>
        <w:rPr>
          <w:rFonts w:hint="eastAsia"/>
          <w:color w:val="000000"/>
          <w:sz w:val="24"/>
          <w:highlight w:val="none"/>
          <w:lang w:val="zh-CN"/>
        </w:rPr>
      </w:r>
      <w:r/>
    </w:p>
    <w:p>
      <w:pPr>
        <w:pStyle w:val="873"/>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43"/>
        <w:ind w:firstLine="480"/>
        <w:rPr>
          <w:rFonts w:hint="eastAsia"/>
          <w:color w:val="000000"/>
          <w:sz w:val="24"/>
          <w:highlight w:val="none"/>
          <w:lang w:val="zh-CN"/>
        </w:rPr>
      </w:pPr>
      <w:r>
        <w:rPr>
          <w:rFonts w:hint="eastAsia"/>
          <w:color w:val="000000"/>
          <w:sz w:val="24"/>
          <w:highlight w:val="none"/>
          <w:lang w:val="zh-CN"/>
        </w:rPr>
      </w:r>
      <w:r/>
    </w:p>
    <w:p>
      <w:pPr>
        <w:pStyle w:val="873"/>
        <w:rPr>
          <w:rFonts w:hint="eastAsia"/>
          <w:color w:val="000000"/>
          <w:highlight w:val="none"/>
          <w:lang w:val="zh-CN"/>
        </w:rPr>
      </w:pPr>
      <w:r>
        <w:rPr>
          <w:rFonts w:hint="eastAsia"/>
          <w:color w:val="000000"/>
          <w:highlight w:val="none"/>
          <w:lang w:val="zh-CN"/>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73"/>
        <w:jc w:val="center"/>
        <w:spacing w:before="145" w:after="145"/>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以下为本项目的合同条款，合同双方不得对磋商、响应文件内容作实质性修改。</w:t>
      </w:r>
      <w:r>
        <w:rPr>
          <w:rFonts w:hint="eastAsia" w:ascii="宋体" w:hAnsi="宋体"/>
          <w:bCs/>
          <w:color w:val="000000"/>
          <w:sz w:val="24"/>
          <w:szCs w:val="21"/>
          <w:highlight w:val="none"/>
        </w:rPr>
      </w:r>
      <w:r/>
    </w:p>
    <w:p>
      <w:pPr>
        <w:pStyle w:val="951"/>
        <w:ind w:left="0"/>
        <w:rPr>
          <w:rFonts w:hint="eastAsia"/>
          <w:color w:val="000000"/>
          <w:highlight w:val="none"/>
        </w:rPr>
      </w:pPr>
      <w:r>
        <w:rPr>
          <w:rFonts w:hint="eastAsia"/>
          <w:color w:val="000000"/>
          <w:highlight w:val="none"/>
        </w:rPr>
      </w:r>
      <w:r/>
    </w:p>
    <w:p>
      <w:pPr>
        <w:pStyle w:val="873"/>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873"/>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73"/>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73"/>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73"/>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w:t>
      </w:r>
      <w:r>
        <w:rPr>
          <w:rFonts w:hint="eastAsia" w:ascii="宋体" w:hAnsi="宋体" w:cs="Courier New"/>
          <w:color w:val="000000"/>
          <w:sz w:val="24"/>
          <w:szCs w:val="24"/>
          <w:highlight w:val="none"/>
        </w:rPr>
        <w:t xml:space="preserve">：按磋商文件及响应文件执行。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标的数量（规模）：按磋商文件及响应文件执行。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履行时间（期限）：按磋商文件及响应文件执行。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履行方式：按磋商文件及响应文件执行。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包装方式：按磋商文件及响应文件执行。</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13"/>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本合同金额为（大写）：____________________圆（_________________元）人民币。</w:t>
      </w:r>
      <w:r>
        <w:rPr>
          <w:rFonts w:hAnsi="宋体"/>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乙方应按磋商文件规定的时间向甲方提供服务（包含与服务相关的货物）的有关技术资料。</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w:t>
      </w:r>
      <w:r>
        <w:rPr>
          <w:rFonts w:hint="eastAsia" w:ascii="宋体" w:hAnsi="宋体" w:cs="Courier New"/>
          <w:color w:val="000000"/>
          <w:sz w:val="24"/>
          <w:szCs w:val="24"/>
          <w:highlight w:val="none"/>
        </w:rPr>
        <w:t xml:space="preserve"> 签订合同时，乙方按照合同金额</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873"/>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w:t>
      </w:r>
      <w:r>
        <w:rPr>
          <w:rFonts w:hint="eastAsia" w:ascii="宋体" w:hAnsi="宋体" w:cs="Courier New"/>
          <w:color w:val="000000"/>
          <w:sz w:val="24"/>
          <w:szCs w:val="24"/>
          <w:highlight w:val="none"/>
        </w:rPr>
        <w:t xml:space="preserve"> 退还时间及条件：验收合格且合同履行期结束后5个工作日内。</w:t>
      </w:r>
      <w:r>
        <w:rPr>
          <w:rFonts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w:t>
      </w:r>
      <w:r>
        <w:rPr>
          <w:rFonts w:hint="eastAsia" w:ascii="宋体" w:hAnsi="宋体" w:cs="Courier New"/>
          <w:color w:val="000000"/>
          <w:sz w:val="24"/>
          <w:szCs w:val="24"/>
          <w:highlight w:val="none"/>
        </w:rPr>
        <w:t xml:space="preserve"> 退还方式：扣除违约费用后一次性无息退还。</w:t>
      </w:r>
      <w:r>
        <w:rPr>
          <w:rFonts w:hint="eastAsia" w:ascii="宋体" w:hAnsi="宋体" w:cs="Courier New"/>
          <w:color w:val="000000"/>
          <w:sz w:val="24"/>
          <w:szCs w:val="24"/>
          <w:highlight w:val="none"/>
        </w:rPr>
      </w:r>
      <w:r/>
    </w:p>
    <w:p>
      <w:pPr>
        <w:pStyle w:val="873"/>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w:t>
      </w:r>
      <w:r>
        <w:rPr>
          <w:rFonts w:hint="eastAsia" w:ascii="宋体" w:hAnsi="宋体" w:cs="Courier New"/>
          <w:color w:val="000000"/>
          <w:sz w:val="24"/>
          <w:szCs w:val="24"/>
          <w:highlight w:val="none"/>
        </w:rPr>
        <w:t xml:space="preserve"> 不予退还的情形：合同约定的交付期内未履约完成、验收不合格、整改不到位等情形。</w:t>
      </w:r>
      <w:r>
        <w:rPr>
          <w:rFonts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w:t>
      </w:r>
      <w:r>
        <w:rPr>
          <w:rFonts w:hint="eastAsia" w:ascii="宋体" w:hAnsi="宋体" w:cs="Courier New"/>
          <w:color w:val="000000"/>
          <w:sz w:val="24"/>
          <w:szCs w:val="24"/>
          <w:highlight w:val="none"/>
        </w:rPr>
        <w:t xml:space="preserve">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873"/>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13"/>
        <w:rPr>
          <w:rFonts w:hint="eastAsia" w:hAnsi="宋体"/>
          <w:color w:val="000000"/>
          <w:sz w:val="24"/>
          <w:szCs w:val="24"/>
          <w:highlight w:val="none"/>
        </w:rPr>
        <w:outlineLvl w:val="2"/>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 项目合同签订后，分别支付采购包1、采购包2合同金额的30%；</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w:t>
      </w:r>
      <w:r>
        <w:rPr>
          <w:rFonts w:ascii="宋体" w:hAnsi="宋体" w:cs="Courier New"/>
          <w:color w:val="000000"/>
          <w:sz w:val="24"/>
          <w:szCs w:val="24"/>
          <w:highlight w:val="none"/>
        </w:rPr>
        <w:t xml:space="preserve">2</w:t>
      </w:r>
      <w:r>
        <w:rPr>
          <w:rFonts w:hint="eastAsia" w:ascii="宋体" w:hAnsi="宋体" w:cs="Courier New"/>
          <w:color w:val="000000"/>
          <w:sz w:val="24"/>
          <w:szCs w:val="24"/>
          <w:highlight w:val="none"/>
        </w:rPr>
        <w:t xml:space="preserve"> 提交数据库成果得到甲方认可后，支付采购包1合同金额的60%；</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8.1.3 完成无人机辅助识别模块产品部署，并试运行一周后，支付采购包2合同金额的60%；</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w:t>
      </w:r>
      <w:r>
        <w:rPr>
          <w:rFonts w:ascii="宋体" w:hAnsi="宋体" w:cs="Courier New"/>
          <w:color w:val="000000"/>
          <w:sz w:val="24"/>
          <w:szCs w:val="24"/>
          <w:highlight w:val="none"/>
        </w:rPr>
        <w:t xml:space="preserve">4</w:t>
      </w:r>
      <w:r>
        <w:rPr>
          <w:rFonts w:hint="eastAsia" w:ascii="宋体" w:hAnsi="宋体" w:cs="Courier New"/>
          <w:color w:val="000000"/>
          <w:sz w:val="24"/>
          <w:szCs w:val="24"/>
          <w:highlight w:val="none"/>
        </w:rPr>
        <w:t xml:space="preserve"> 项目验收通过后，分别支付采购包1、采购包2合同金额的10%。</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w:t>
      </w:r>
      <w:r>
        <w:rPr>
          <w:rFonts w:ascii="宋体" w:hAnsi="宋体" w:cs="Courier New"/>
          <w:color w:val="000000"/>
          <w:sz w:val="24"/>
          <w:szCs w:val="24"/>
          <w:highlight w:val="none"/>
        </w:rPr>
        <w:t xml:space="preserve">5</w:t>
      </w:r>
      <w:r>
        <w:rPr>
          <w:rFonts w:hint="eastAsia" w:ascii="宋体" w:hAnsi="宋体" w:cs="Courier New"/>
          <w:color w:val="000000"/>
          <w:sz w:val="24"/>
          <w:szCs w:val="24"/>
          <w:highlight w:val="none"/>
        </w:rPr>
        <w:t xml:space="preserve"> 满足合同约定支付条件的，甲方收到乙方发票后10个工作日内，将资金支付到合同约定的乙方账户。 </w:t>
      </w:r>
      <w:r>
        <w:rPr>
          <w:rFonts w:hint="eastAsia" w:ascii="宋体" w:hAnsi="宋体" w:cs="Courier New"/>
          <w:color w:val="000000"/>
          <w:sz w:val="24"/>
          <w:szCs w:val="24"/>
          <w:highlight w:val="none"/>
        </w:rPr>
      </w:r>
      <w:r/>
    </w:p>
    <w:p>
      <w:pPr>
        <w:pStyle w:val="913"/>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lang w:val="zh-CN"/>
        </w:rPr>
        <w:t xml:space="preserve">10.7 </w:t>
      </w:r>
      <w:r>
        <w:rPr>
          <w:rFonts w:hint="eastAsia" w:ascii="宋体" w:hAnsi="宋体" w:cs="Courier New"/>
          <w:color w:val="000000"/>
          <w:sz w:val="24"/>
          <w:szCs w:val="24"/>
          <w:highlight w:val="none"/>
          <w:lang w:val="zh-CN"/>
        </w:rPr>
        <w:t xml:space="preserve">网络安全、市场准入要求：</w:t>
      </w: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rPr>
        <w:t xml:space="preserve">提供的成熟产品应符合《商用密码应用解决方案》并通过方案评估，同步编制《商用密码应用实施方案》，依据GB/T39786-2021《信息安全技术信息系统密码应用基本要求》对应三级系统要求进行建设或整改，最终通过商用密码应用与安全性评估。</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873"/>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color w:val="000000"/>
          <w:sz w:val="24"/>
          <w:szCs w:val="24"/>
          <w:highlight w:val="none"/>
        </w:rPr>
        <w:t xml:space="preserve">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highlight w:val="none"/>
        </w:rPr>
        <w:t xml:space="preserve">，应向甲方支付合同总额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highlight w:val="none"/>
        </w:rPr>
      </w:r>
      <w:r/>
    </w:p>
    <w:p>
      <w:pPr>
        <w:pStyle w:val="873"/>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87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rPr>
          <w:rFonts w:hint="eastAsia" w:ascii="方正黑体_GBK" w:hAnsi="方正黑体_GBK" w:eastAsia="方正黑体_GBK" w:cs="方正黑体_GBK"/>
          <w:bCs/>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7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13"/>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3"/>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913"/>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913"/>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913"/>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13"/>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3"/>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      年    月   日</w:t>
      </w:r>
      <w:r>
        <w:rPr>
          <w:rFonts w:hint="eastAsia" w:hAnsi="宋体"/>
          <w:color w:val="000000"/>
          <w:sz w:val="24"/>
          <w:szCs w:val="24"/>
          <w:highlight w:val="none"/>
        </w:rPr>
      </w:r>
      <w:r/>
    </w:p>
    <w:p>
      <w:pPr>
        <w:pStyle w:val="913"/>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873"/>
        <w:jc w:val="center"/>
        <w:spacing w:before="145" w:after="145"/>
        <w:rPr>
          <w:rFonts w:hint="eastAsia" w:ascii="宋体" w:hAnsi="宋体"/>
          <w:b/>
          <w:color w:val="000000"/>
          <w:sz w:val="30"/>
          <w:szCs w:val="21"/>
          <w:highlight w:val="none"/>
        </w:rPr>
        <w:outlineLvl w:val="1"/>
      </w:pPr>
      <w:r>
        <w:rPr>
          <w:rFonts w:hint="eastAsia" w:ascii="宋体" w:hAnsi="宋体"/>
          <w:b/>
          <w:color w:val="000000"/>
          <w:sz w:val="30"/>
          <w:szCs w:val="21"/>
          <w:highlight w:val="none"/>
        </w:rPr>
        <w:t xml:space="preserve">《*******合同》补充协议（合同附件）</w:t>
      </w:r>
      <w:r>
        <w:rPr>
          <w:rFonts w:hint="eastAsia" w:ascii="宋体" w:hAnsi="宋体"/>
          <w:b/>
          <w:color w:val="000000"/>
          <w:sz w:val="30"/>
          <w:szCs w:val="21"/>
          <w:highlight w:val="none"/>
        </w:rPr>
      </w:r>
      <w:r/>
    </w:p>
    <w:p>
      <w:pPr>
        <w:pStyle w:val="913"/>
        <w:jc w:val="left"/>
        <w:spacing w:before="120" w:after="120"/>
        <w:rPr>
          <w:rFonts w:hAnsi="宋体"/>
          <w:color w:val="000000"/>
          <w:sz w:val="24"/>
          <w:szCs w:val="24"/>
          <w:highlight w:val="none"/>
        </w:rPr>
      </w:pPr>
      <w:r>
        <w:rPr>
          <w:rFonts w:hint="eastAsia" w:hAnsi="宋体"/>
          <w:color w:val="000000"/>
          <w:sz w:val="24"/>
          <w:szCs w:val="24"/>
          <w:highlight w:val="none"/>
        </w:rPr>
        <w:t xml:space="preserve">    如遇磋商文件及合同未约定事项，双方可友好协商签订补充协议。</w:t>
      </w:r>
      <w:r>
        <w:rPr>
          <w:rFonts w:hAnsi="宋体"/>
          <w:color w:val="000000"/>
          <w:sz w:val="24"/>
          <w:szCs w:val="24"/>
          <w:highlight w:val="none"/>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bookmarkEnd w:id="0"/>
      <w:r/>
      <w:bookmarkEnd w:id="1"/>
      <w:r/>
      <w:bookmarkEnd w:id="2"/>
      <w:r/>
      <w:bookmarkEnd w:id="3"/>
      <w:r/>
      <w:bookmarkEnd w:id="4"/>
      <w:r/>
      <w:bookmarkEnd w:id="5"/>
      <w:r/>
      <w:bookmarkStart w:id="12" w:name="_Hlt16619350"/>
      <w:r/>
      <w:bookmarkStart w:id="13" w:name="_Toc20823346"/>
      <w:r/>
      <w:bookmarkStart w:id="14" w:name="_Toc120614244"/>
      <w:r/>
      <w:bookmarkStart w:id="15" w:name="_Toc16938590"/>
      <w:r/>
      <w:bookmarkStart w:id="16" w:name="_Toc479757211"/>
      <w:r/>
      <w:bookmarkStart w:id="17" w:name="_Toc462564139"/>
      <w:r>
        <w:rPr>
          <w:rFonts w:hint="eastAsia" w:hAnsi="宋体"/>
          <w:color w:val="000000"/>
          <w:sz w:val="24"/>
          <w:szCs w:val="24"/>
          <w:highlight w:val="none"/>
        </w:rPr>
        <w:br w:type="page" w:clear="all"/>
      </w:r>
      <w:bookmarkEnd w:id="12"/>
      <w:r/>
      <w:bookmarkEnd w:id="13"/>
      <w:r/>
      <w:bookmarkEnd w:id="14"/>
      <w:r/>
      <w:bookmarkEnd w:id="15"/>
      <w:r/>
      <w:bookmarkStart w:id="18" w:name="_Toc26554093"/>
      <w:r/>
      <w:bookmarkStart w:id="19" w:name="_Toc49090575"/>
      <w:r>
        <w:rPr>
          <w:rFonts w:hint="eastAsia" w:ascii="方正小标宋简体" w:hAnsi="方正小标宋简体" w:eastAsia="方正小标宋简体" w:cs="方正小标宋简体"/>
          <w:color w:val="000000"/>
          <w:sz w:val="36"/>
          <w:szCs w:val="36"/>
          <w:highlight w:val="none"/>
        </w:rPr>
        <w:t xml:space="preserve">第四章  采购需求</w:t>
      </w:r>
      <w:r>
        <w:rPr>
          <w:rFonts w:hint="eastAsia" w:ascii="方正小标宋简体" w:hAnsi="方正小标宋简体" w:eastAsia="方正小标宋简体" w:cs="方正小标宋简体"/>
          <w:color w:val="000000"/>
          <w:sz w:val="36"/>
          <w:szCs w:val="36"/>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为落实《自然资源部办公厅关于严肃开展耕地和永久基本农田划定成果核实处置工作的通知》（自然资办发〔2023〕</w:t>
      </w:r>
      <w:r>
        <w:rPr>
          <w:rFonts w:hint="eastAsia" w:ascii="宋体" w:hAnsi="宋体" w:cs="宋体"/>
          <w:color w:val="000000"/>
          <w:sz w:val="24"/>
          <w:szCs w:val="24"/>
          <w:highlight w:val="none"/>
        </w:rPr>
        <w:t xml:space="preserve">25号）、《自然资源部 农业农村部关于改革完善耕地占补平衡管理的通知》（自然资发〔2024〕204号）、《关于落实最严格耕地保护制度 全面加强耕地用途管制的实施意见》的通知（宁委办发〔2023〕35号）、《关于印发〈南京市耕地资源“一田一码”精细化管理试点工作方案〉的通知》（宁规划资源发〔2025〕28号）、《关于建立耕地资源“一田一码”精细化管理试点工作机制的通知》（宁规划资源发〔2025〕35号）等有关要求，通过开展“一田一码”的建设和管理，为切实保护耕地、保障国家粮食安全提供全方位数据支撑和技术保障。</w:t>
      </w:r>
      <w:r>
        <w:rPr>
          <w:rFonts w:hint="eastAsia" w:ascii="宋体" w:hAnsi="宋体" w:cs="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（二）项目建设遵循标准</w:t>
      </w:r>
      <w:r>
        <w:rPr>
          <w:rFonts w:hint="eastAsia" w:ascii="宋体" w:hAnsi="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（1）《自然资源部办公厅关于严肃开展耕地和永久基本农田划定成果核实处置工作的通知》（自然资办发〔2023〕25号）</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（2）《关于落实最严格耕地保护制度 全面加强耕地用途管制的实施意见》的通知（宁委办发〔2023〕35号）</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（3）《自然资源部 农业农村部关于改革完善耕地占补平衡管理的通知》（自然资发〔2024〕204号）</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（4）《关于印发〈南京市耕地资源“一田一码”精细化管理试点工作方案〉的通知》（宁规划资源发〔2025〕28号）</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（5）《关于建立耕地资源“一田一码”精细化管理试点工作机制的通知》（宁规划资源发〔2025〕35号）</w:t>
      </w:r>
      <w:r>
        <w:rPr>
          <w:rFonts w:hint="eastAsia" w:ascii="宋体" w:hAnsi="宋体" w:cs="宋体"/>
          <w:color w:val="000000"/>
          <w:sz w:val="24"/>
          <w:szCs w:val="24"/>
          <w:highlight w:val="none"/>
        </w:rPr>
      </w:r>
      <w:r/>
    </w:p>
    <w:p>
      <w:pPr>
        <w:pStyle w:val="873"/>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p>
      <w:pPr>
        <w:pStyle w:val="873"/>
        <w:ind w:firstLine="480"/>
        <w:spacing w:line="264" w:lineRule="auto"/>
        <w:rPr>
          <w:rFonts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采购包1</w:t>
      </w:r>
      <w:r>
        <w:rPr>
          <w:rFonts w:ascii="黑体" w:hAnsi="黑体" w:eastAsia="黑体" w:cs="黑体"/>
          <w:color w:val="000000"/>
          <w:sz w:val="24"/>
          <w:szCs w:val="24"/>
          <w:highlight w:val="none"/>
        </w:rPr>
      </w:r>
      <w:r/>
    </w:p>
    <w:tbl>
      <w:tblPr>
        <w:tblW w:w="5001" w:type="pct"/>
        <w:tblInd w:w="-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5"/>
        <w:gridCol w:w="1366"/>
        <w:gridCol w:w="757"/>
        <w:gridCol w:w="719"/>
        <w:gridCol w:w="1058"/>
        <w:gridCol w:w="1071"/>
        <w:gridCol w:w="1333"/>
        <w:gridCol w:w="1101"/>
        <w:gridCol w:w="1814"/>
      </w:tblGrid>
      <w:tr>
        <w:trPr>
          <w:trHeight w:val="470"/>
        </w:trPr>
        <w:tc>
          <w:tcPr>
            <w:tcW w:w="279"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699"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387"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368"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541"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548"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rPr>
                <w:rFonts w:hint="eastAsia" w:ascii="宋体" w:hAnsi="宋体" w:cs="宋体"/>
                <w:bCs/>
                <w:color w:val="000000"/>
                <w:sz w:val="24"/>
                <w:szCs w:val="24"/>
                <w:highlight w:val="none"/>
              </w:rPr>
            </w:r>
            <w:r/>
          </w:p>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（元）</w:t>
            </w:r>
            <w:r>
              <w:rPr>
                <w:rFonts w:hint="eastAsia" w:ascii="宋体" w:hAnsi="宋体" w:cs="宋体"/>
                <w:bCs/>
                <w:color w:val="000000"/>
                <w:sz w:val="24"/>
                <w:szCs w:val="24"/>
                <w:highlight w:val="none"/>
              </w:rPr>
            </w:r>
            <w:r/>
          </w:p>
        </w:tc>
        <w:tc>
          <w:tcPr>
            <w:tcW w:w="682"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563"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928"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数据交易类型（如有）</w:t>
            </w:r>
            <w:r>
              <w:rPr>
                <w:rFonts w:hint="eastAsia" w:ascii="宋体" w:hAnsi="宋体" w:cs="宋体"/>
                <w:bCs/>
                <w:color w:val="000000"/>
                <w:sz w:val="24"/>
                <w:szCs w:val="24"/>
                <w:highlight w:val="none"/>
              </w:rPr>
            </w:r>
            <w:r/>
          </w:p>
        </w:tc>
      </w:tr>
      <w:tr>
        <w:trPr>
          <w:trHeight w:val="597"/>
        </w:trPr>
        <w:tc>
          <w:tcPr>
            <w:tcW w:w="279"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699" w:type="dxa"/>
            <w:vAlign w:val="center"/>
            <w:textDirection w:val="lrTb"/>
            <w:noWrap w:val="false"/>
          </w:tcPr>
          <w:p>
            <w:pPr>
              <w:pStyle w:val="873"/>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数据建库</w:t>
            </w:r>
            <w:r>
              <w:rPr>
                <w:rFonts w:hint="eastAsia" w:ascii="宋体" w:hAnsi="宋体" w:cs="宋体"/>
                <w:bCs/>
                <w:color w:val="000000"/>
                <w:sz w:val="24"/>
                <w:szCs w:val="24"/>
                <w:highlight w:val="none"/>
              </w:rPr>
            </w:r>
            <w:r/>
          </w:p>
        </w:tc>
        <w:tc>
          <w:tcPr>
            <w:tcW w:w="387" w:type="dxa"/>
            <w:vAlign w:val="center"/>
            <w:textDirection w:val="lrTb"/>
            <w:noWrap w:val="false"/>
          </w:tcPr>
          <w:p>
            <w:pPr>
              <w:pStyle w:val="873"/>
              <w:jc w:val="center"/>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eastAsia="en-US"/>
              </w:rPr>
              <w:t xml:space="preserve">1</w:t>
            </w:r>
            <w:r>
              <w:rPr>
                <w:rFonts w:hint="eastAsia" w:ascii="宋体" w:hAnsi="宋体" w:cs="宋体"/>
                <w:bCs/>
                <w:color w:val="000000"/>
                <w:sz w:val="24"/>
                <w:szCs w:val="24"/>
                <w:highlight w:val="none"/>
              </w:rPr>
            </w:r>
            <w:r/>
          </w:p>
        </w:tc>
        <w:tc>
          <w:tcPr>
            <w:tcW w:w="368" w:type="dxa"/>
            <w:vAlign w:val="center"/>
            <w:textDirection w:val="lrTb"/>
            <w:noWrap w:val="false"/>
          </w:tcPr>
          <w:p>
            <w:pPr>
              <w:pStyle w:val="873"/>
              <w:jc w:val="center"/>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eastAsia="en-US"/>
              </w:rPr>
              <w:t xml:space="preserve">项</w:t>
            </w:r>
            <w:r>
              <w:rPr>
                <w:rFonts w:hint="eastAsia" w:ascii="宋体" w:hAnsi="宋体" w:cs="宋体"/>
                <w:bCs/>
                <w:color w:val="000000"/>
                <w:sz w:val="24"/>
                <w:szCs w:val="24"/>
                <w:highlight w:val="none"/>
              </w:rPr>
            </w:r>
            <w:r/>
          </w:p>
        </w:tc>
        <w:tc>
          <w:tcPr>
            <w:tcW w:w="541"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548" w:type="dxa"/>
            <w:vAlign w:val="center"/>
            <w:textDirection w:val="lrTb"/>
            <w:noWrap w:val="false"/>
          </w:tcPr>
          <w:p>
            <w:pPr>
              <w:pStyle w:val="873"/>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682" w:type="dxa"/>
            <w:vAlign w:val="center"/>
            <w:textDirection w:val="lrTb"/>
            <w:noWrap w:val="false"/>
          </w:tcPr>
          <w:p>
            <w:pPr>
              <w:pStyle w:val="873"/>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63" w:type="dxa"/>
            <w:vAlign w:val="center"/>
            <w:textDirection w:val="lrTb"/>
            <w:noWrap w:val="false"/>
          </w:tcPr>
          <w:p>
            <w:pPr>
              <w:pStyle w:val="873"/>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eastAsia="en-US"/>
              </w:rPr>
              <w:t xml:space="preserve">服务</w:t>
            </w:r>
            <w:r>
              <w:rPr>
                <w:rFonts w:hint="eastAsia" w:ascii="宋体" w:hAnsi="宋体" w:cs="宋体"/>
                <w:bCs/>
                <w:color w:val="000000"/>
                <w:sz w:val="24"/>
                <w:szCs w:val="24"/>
                <w:highlight w:val="none"/>
              </w:rPr>
            </w:r>
            <w:r/>
          </w:p>
        </w:tc>
        <w:tc>
          <w:tcPr>
            <w:tcW w:w="928" w:type="dxa"/>
            <w:vAlign w:val="center"/>
            <w:textDirection w:val="lrTb"/>
            <w:noWrap w:val="false"/>
          </w:tcPr>
          <w:p>
            <w:pPr>
              <w:pStyle w:val="873"/>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数据服务</w:t>
            </w:r>
            <w:r>
              <w:rPr>
                <w:rFonts w:hint="eastAsia" w:ascii="宋体" w:hAnsi="宋体" w:cs="宋体"/>
                <w:bCs/>
                <w:color w:val="000000"/>
                <w:sz w:val="24"/>
                <w:szCs w:val="24"/>
                <w:highlight w:val="none"/>
              </w:rPr>
            </w:r>
            <w:r/>
          </w:p>
        </w:tc>
      </w:tr>
    </w:tbl>
    <w:p>
      <w:pPr>
        <w:ind w:firstLine="480"/>
        <w:spacing w:line="264" w:lineRule="auto"/>
        <w:rPr>
          <w:rFonts w:hint="eastAsia" w:ascii="宋体" w:hAnsi="宋体" w:eastAsia="黑体" w:cs="宋体"/>
          <w:color w:val="000000"/>
          <w:sz w:val="24"/>
          <w:szCs w:val="24"/>
          <w:highlight w:val="none"/>
        </w:rPr>
        <w:outlineLvl w:val="1"/>
      </w:pPr>
      <w:r>
        <w:rPr>
          <w:rFonts w:hint="eastAsia" w:ascii="宋体" w:hAnsi="宋体" w:eastAsia="黑体" w:cs="宋体"/>
          <w:bCs/>
          <w:color w:val="000000"/>
          <w:sz w:val="24"/>
          <w:szCs w:val="24"/>
          <w:highlight w:val="none"/>
        </w:rPr>
      </w:r>
      <w:r>
        <w:rPr>
          <w:rFonts w:hint="eastAsia" w:ascii="宋体" w:hAnsi="宋体" w:eastAsia="黑体" w:cs="宋体"/>
          <w:bCs/>
          <w:color w:val="000000"/>
          <w:sz w:val="24"/>
          <w:szCs w:val="24"/>
          <w:highlight w:val="none"/>
        </w:rPr>
      </w:r>
      <w:r/>
    </w:p>
    <w:p>
      <w:pPr>
        <w:pStyle w:val="873"/>
        <w:ind w:firstLine="480"/>
        <w:spacing w:line="264" w:lineRule="auto"/>
        <w:rPr>
          <w:rFonts w:hint="eastAsia" w:ascii="宋体" w:hAnsi="宋体" w:eastAsia="黑体" w:cs="宋体"/>
          <w:color w:val="000000"/>
          <w:sz w:val="24"/>
          <w:szCs w:val="24"/>
          <w:highlight w:val="none"/>
        </w:rPr>
        <w:outlineLvl w:val="1"/>
      </w:pPr>
      <w:r>
        <w:rPr>
          <w:rFonts w:hint="eastAsia" w:ascii="宋体" w:hAnsi="宋体" w:eastAsia="黑体" w:cs="宋体"/>
          <w:bCs/>
          <w:color w:val="000000"/>
          <w:sz w:val="24"/>
          <w:szCs w:val="24"/>
          <w:highlight w:val="none"/>
        </w:rPr>
        <w:t xml:space="preserve">采购包2</w:t>
      </w:r>
      <w:r>
        <w:rPr>
          <w:rFonts w:hint="eastAsia" w:ascii="宋体" w:hAnsi="宋体" w:eastAsia="黑体" w:cs="宋体"/>
          <w:bCs/>
          <w:color w:val="000000"/>
          <w:sz w:val="24"/>
          <w:szCs w:val="24"/>
          <w:highlight w:val="none"/>
        </w:rPr>
      </w:r>
      <w:r/>
    </w:p>
    <w:tbl>
      <w:tblPr>
        <w:tblW w:w="4981"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7"/>
        <w:gridCol w:w="1352"/>
        <w:gridCol w:w="741"/>
        <w:gridCol w:w="708"/>
        <w:gridCol w:w="1045"/>
        <w:gridCol w:w="1177"/>
        <w:gridCol w:w="1317"/>
        <w:gridCol w:w="1086"/>
        <w:gridCol w:w="1762"/>
      </w:tblGrid>
      <w:tr>
        <w:trPr>
          <w:trHeight w:val="470"/>
        </w:trPr>
        <w:tc>
          <w:tcPr>
            <w:tcW w:w="276"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695"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分项名称</w:t>
            </w:r>
            <w:r>
              <w:rPr>
                <w:rFonts w:hint="eastAsia" w:ascii="宋体" w:hAnsi="宋体" w:cs="宋体"/>
                <w:color w:val="000000"/>
                <w:sz w:val="24"/>
                <w:szCs w:val="24"/>
                <w:highlight w:val="none"/>
              </w:rPr>
            </w:r>
            <w:r/>
          </w:p>
        </w:tc>
        <w:tc>
          <w:tcPr>
            <w:tcW w:w="381"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W w:w="364"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单位</w:t>
            </w:r>
            <w:r>
              <w:rPr>
                <w:rFonts w:hint="eastAsia" w:ascii="宋体" w:hAnsi="宋体" w:cs="宋体"/>
                <w:color w:val="000000"/>
                <w:sz w:val="24"/>
                <w:szCs w:val="24"/>
                <w:highlight w:val="none"/>
              </w:rPr>
            </w:r>
            <w:r/>
          </w:p>
        </w:tc>
        <w:tc>
          <w:tcPr>
            <w:tcW w:w="537"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产品类型</w:t>
            </w:r>
            <w:r>
              <w:rPr>
                <w:rFonts w:hint="eastAsia" w:ascii="宋体" w:hAnsi="宋体" w:cs="宋体"/>
                <w:color w:val="000000"/>
                <w:sz w:val="24"/>
                <w:szCs w:val="24"/>
                <w:highlight w:val="none"/>
              </w:rPr>
            </w:r>
            <w:r/>
          </w:p>
        </w:tc>
        <w:tc>
          <w:tcPr>
            <w:tcW w:w="605"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单价上限</w:t>
            </w:r>
            <w:r>
              <w:rPr>
                <w:rFonts w:hint="eastAsia" w:ascii="宋体" w:hAnsi="宋体" w:cs="宋体"/>
                <w:color w:val="000000"/>
                <w:sz w:val="24"/>
                <w:szCs w:val="24"/>
                <w:highlight w:val="none"/>
              </w:rPr>
            </w:r>
            <w:r/>
          </w:p>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c>
          <w:tcPr>
            <w:tcW w:w="677"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所属行业</w:t>
            </w:r>
            <w:r>
              <w:rPr>
                <w:rFonts w:hint="eastAsia" w:ascii="宋体" w:hAnsi="宋体" w:cs="宋体"/>
                <w:color w:val="000000"/>
                <w:sz w:val="24"/>
                <w:szCs w:val="24"/>
                <w:highlight w:val="none"/>
              </w:rPr>
            </w:r>
            <w:r/>
          </w:p>
        </w:tc>
        <w:tc>
          <w:tcPr>
            <w:tcW w:w="558"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属性</w:t>
            </w:r>
            <w:r>
              <w:rPr>
                <w:rFonts w:hint="eastAsia" w:ascii="宋体" w:hAnsi="宋体" w:cs="宋体"/>
                <w:color w:val="000000"/>
                <w:sz w:val="24"/>
                <w:szCs w:val="24"/>
                <w:highlight w:val="none"/>
              </w:rPr>
            </w:r>
            <w:r/>
          </w:p>
        </w:tc>
        <w:tc>
          <w:tcPr>
            <w:tcW w:w="905"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数据交易类型（如有）</w:t>
            </w:r>
            <w:r>
              <w:rPr>
                <w:rFonts w:hint="eastAsia" w:ascii="宋体" w:hAnsi="宋体" w:cs="宋体"/>
                <w:color w:val="000000"/>
                <w:sz w:val="24"/>
                <w:szCs w:val="24"/>
                <w:highlight w:val="none"/>
              </w:rPr>
            </w:r>
            <w:r/>
          </w:p>
        </w:tc>
      </w:tr>
      <w:tr>
        <w:trPr>
          <w:trHeight w:val="597"/>
        </w:trPr>
        <w:tc>
          <w:tcPr>
            <w:tcW w:w="276"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695"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高清影像自动检测功能完善与无人机辅助识别模块产品及数据赋码</w:t>
            </w:r>
            <w:r>
              <w:rPr>
                <w:rFonts w:hint="eastAsia" w:ascii="宋体" w:hAnsi="宋体" w:cs="宋体"/>
                <w:color w:val="000000"/>
                <w:sz w:val="24"/>
                <w:szCs w:val="24"/>
                <w:highlight w:val="none"/>
              </w:rPr>
            </w:r>
            <w:r/>
          </w:p>
        </w:tc>
        <w:tc>
          <w:tcPr>
            <w:tcW w:w="381"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364"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eastAsia="en-US"/>
              </w:rPr>
              <w:t xml:space="preserve">项</w:t>
            </w:r>
            <w:r>
              <w:rPr>
                <w:rFonts w:hint="eastAsia" w:ascii="宋体" w:hAnsi="宋体" w:cs="宋体"/>
                <w:color w:val="000000"/>
                <w:sz w:val="24"/>
                <w:szCs w:val="24"/>
                <w:highlight w:val="none"/>
              </w:rPr>
            </w:r>
            <w:r/>
          </w:p>
        </w:tc>
        <w:tc>
          <w:tcPr>
            <w:tcW w:w="537"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tc>
        <w:tc>
          <w:tcPr>
            <w:tcW w:w="605" w:type="dxa"/>
            <w:vAlign w:val="center"/>
            <w:textDirection w:val="lrTb"/>
            <w:noWrap w:val="false"/>
          </w:tcPr>
          <w:p>
            <w:pPr>
              <w:pStyle w:val="873"/>
              <w:ind w:firstLine="480"/>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tc>
        <w:tc>
          <w:tcPr>
            <w:tcW w:w="677"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558"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eastAsia="en-US"/>
              </w:rPr>
              <w:t xml:space="preserve">服务</w:t>
            </w:r>
            <w:r>
              <w:rPr>
                <w:rFonts w:hint="eastAsia" w:ascii="宋体" w:hAnsi="宋体" w:cs="宋体"/>
                <w:color w:val="000000"/>
                <w:sz w:val="24"/>
                <w:szCs w:val="24"/>
                <w:highlight w:val="none"/>
              </w:rPr>
            </w:r>
            <w:r/>
          </w:p>
        </w:tc>
        <w:tc>
          <w:tcPr>
            <w:tcW w:w="905" w:type="dxa"/>
            <w:vAlign w:val="center"/>
            <w:textDirection w:val="lrTb"/>
            <w:noWrap w:val="false"/>
          </w:tcPr>
          <w:p>
            <w:pPr>
              <w:pStyle w:val="873"/>
              <w:jc w:val="center"/>
              <w:spacing w:line="264"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数据产品</w:t>
            </w:r>
            <w:r>
              <w:rPr>
                <w:rFonts w:hint="eastAsia" w:ascii="宋体" w:hAnsi="宋体" w:cs="宋体"/>
                <w:color w:val="000000"/>
                <w:sz w:val="24"/>
                <w:szCs w:val="24"/>
                <w:highlight w:val="none"/>
              </w:rPr>
            </w:r>
            <w:r/>
          </w:p>
        </w:tc>
      </w:tr>
    </w:tbl>
    <w:p>
      <w:pPr>
        <w:pStyle w:val="873"/>
        <w:ind w:firstLine="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    四、拟采购标的需要满足的技术、商务要求</w:t>
      </w:r>
      <w:r>
        <w:rPr>
          <w:rFonts w:hint="eastAsia" w:ascii="宋体" w:hAnsi="宋体" w:cs="宋体"/>
          <w:b/>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outlineLvl w:val="2"/>
      </w:pPr>
      <w:r/>
      <w:bookmarkStart w:id="20" w:name="_Toc120614281"/>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73"/>
        <w:ind w:firstLine="480"/>
        <w:spacing w:line="264" w:lineRule="auto"/>
        <w:rPr>
          <w:rFonts w:hint="eastAsia" w:ascii="黑体" w:hAnsi="黑体" w:eastAsia="黑体" w:cs="黑体"/>
          <w:color w:val="000000"/>
          <w:sz w:val="24"/>
          <w:szCs w:val="24"/>
          <w:highlight w:val="none"/>
        </w:rPr>
      </w:pPr>
      <w:r/>
      <w:bookmarkStart w:id="21" w:name="_Toc136368059"/>
      <w:r/>
      <w:bookmarkStart w:id="22" w:name="_Toc142653499"/>
      <w:r>
        <w:rPr>
          <w:rFonts w:hint="eastAsia" w:ascii="黑体" w:hAnsi="黑体" w:eastAsia="黑体" w:cs="黑体"/>
          <w:color w:val="000000"/>
          <w:sz w:val="24"/>
          <w:szCs w:val="24"/>
          <w:highlight w:val="none"/>
        </w:rPr>
        <w:t xml:space="preserve">采购包1：数据建库</w:t>
      </w:r>
      <w:r>
        <w:rPr>
          <w:rFonts w:hint="eastAsia" w:ascii="黑体" w:hAnsi="黑体" w:eastAsia="黑体" w:cs="黑体"/>
          <w:color w:val="000000"/>
          <w:sz w:val="24"/>
          <w:szCs w:val="24"/>
          <w:highlight w:val="none"/>
        </w:rPr>
      </w:r>
      <w:r/>
    </w:p>
    <w:p>
      <w:pPr>
        <w:pStyle w:val="873"/>
        <w:ind w:firstLine="640"/>
        <w:rPr>
          <w:color w:val="000000"/>
          <w:highlight w:val="none"/>
        </w:rPr>
      </w:pPr>
      <w:r>
        <w:rPr>
          <w:rFonts w:hint="eastAsia"/>
          <w:color w:val="000000"/>
          <w:highlight w:val="none"/>
        </w:rPr>
        <w:t xml:space="preserve">基于调查数据进行整合建库，通过标准化赋码实现耕地地块全生命周期管理，并关联权属、责任人等多源信息，构建可溯源的“一田一码”精准管理体系。</w:t>
      </w:r>
      <w:r>
        <w:rPr>
          <w:color w:val="000000"/>
          <w:highlight w:val="none"/>
        </w:rPr>
      </w:r>
      <w:r/>
    </w:p>
    <w:p>
      <w:pPr>
        <w:pStyle w:val="873"/>
        <w:ind w:firstLine="640"/>
        <w:rPr>
          <w:color w:val="000000"/>
          <w:highlight w:val="none"/>
        </w:rPr>
      </w:pPr>
      <w:r>
        <w:rPr>
          <w:rFonts w:hint="eastAsia"/>
          <w:color w:val="000000"/>
          <w:highlight w:val="none"/>
        </w:rPr>
        <w:t xml:space="preserve">1.地块赋码</w:t>
      </w:r>
      <w:r>
        <w:rPr>
          <w:color w:val="000000"/>
          <w:highlight w:val="none"/>
        </w:rPr>
      </w:r>
      <w:r/>
    </w:p>
    <w:p>
      <w:pPr>
        <w:pStyle w:val="873"/>
        <w:ind w:firstLine="640"/>
        <w:rPr>
          <w:color w:val="000000"/>
          <w:highlight w:val="none"/>
        </w:rPr>
      </w:pPr>
      <w:r>
        <w:rPr>
          <w:rFonts w:hint="eastAsia"/>
          <w:color w:val="000000"/>
          <w:highlight w:val="none"/>
        </w:rPr>
        <w:t xml:space="preserve">以2024年度国土变更调查一上成果为基础底库，依据国家行政区划和国土调查数据库标准，对全市所有耕地图斑统一赋码，用“码”串联耕地空间位置、权属等信息，管理地块二维码的新增与灭失，实现全程可溯源和实时掌握耕地状态。</w:t>
      </w:r>
      <w:r>
        <w:rPr>
          <w:color w:val="000000"/>
          <w:highlight w:val="none"/>
        </w:rPr>
      </w:r>
      <w:r/>
    </w:p>
    <w:p>
      <w:pPr>
        <w:pStyle w:val="873"/>
        <w:ind w:firstLine="640"/>
        <w:rPr>
          <w:color w:val="000000"/>
          <w:highlight w:val="none"/>
        </w:rPr>
      </w:pPr>
      <w:r>
        <w:rPr>
          <w:rFonts w:hint="eastAsia"/>
          <w:color w:val="000000"/>
          <w:highlight w:val="none"/>
        </w:rPr>
        <w:t xml:space="preserve">（1）汇总分析</w:t>
      </w:r>
      <w:r>
        <w:rPr>
          <w:color w:val="000000"/>
          <w:highlight w:val="none"/>
        </w:rPr>
      </w:r>
      <w:r/>
    </w:p>
    <w:p>
      <w:pPr>
        <w:pStyle w:val="873"/>
        <w:ind w:firstLine="640"/>
        <w:rPr>
          <w:color w:val="000000"/>
          <w:highlight w:val="none"/>
        </w:rPr>
      </w:pPr>
      <w:r>
        <w:rPr>
          <w:rFonts w:hint="eastAsia"/>
          <w:color w:val="000000"/>
          <w:highlight w:val="none"/>
        </w:rPr>
        <w:t xml:space="preserve">以村庄为单位，集中统计全市行政村地块总面积、总数量，耕地、非耕地、林地湿地、高标准农田、标准化菜地的面积及数量等数据，用于后期赋码查询展示。</w:t>
      </w:r>
      <w:r>
        <w:rPr>
          <w:color w:val="000000"/>
          <w:highlight w:val="none"/>
        </w:rPr>
      </w:r>
      <w:r/>
    </w:p>
    <w:p>
      <w:pPr>
        <w:pStyle w:val="873"/>
        <w:ind w:firstLine="640"/>
        <w:rPr>
          <w:color w:val="000000"/>
          <w:highlight w:val="none"/>
        </w:rPr>
      </w:pPr>
      <w:r>
        <w:rPr>
          <w:rFonts w:hint="eastAsia"/>
          <w:color w:val="000000"/>
          <w:highlight w:val="none"/>
        </w:rPr>
        <w:t xml:space="preserve">（2）分类统计</w:t>
      </w:r>
      <w:r>
        <w:rPr>
          <w:color w:val="000000"/>
          <w:highlight w:val="none"/>
        </w:rPr>
      </w:r>
      <w:r/>
    </w:p>
    <w:p>
      <w:pPr>
        <w:pStyle w:val="873"/>
        <w:ind w:firstLine="640"/>
        <w:rPr>
          <w:color w:val="000000"/>
          <w:highlight w:val="none"/>
        </w:rPr>
      </w:pPr>
      <w:r>
        <w:rPr>
          <w:rFonts w:hint="eastAsia"/>
          <w:color w:val="000000"/>
          <w:highlight w:val="none"/>
        </w:rPr>
        <w:t xml:space="preserve">按村对地块进行分类统计，涵盖耕地种植情况、恢复程度、永久基本农田数量等数据的个数及比例，辅助管理人员掌握实有耕地利用现状。</w:t>
      </w:r>
      <w:r>
        <w:rPr>
          <w:color w:val="000000"/>
          <w:highlight w:val="none"/>
        </w:rPr>
      </w:r>
      <w:r/>
    </w:p>
    <w:p>
      <w:pPr>
        <w:pStyle w:val="873"/>
        <w:ind w:firstLine="640"/>
        <w:rPr>
          <w:color w:val="000000"/>
          <w:highlight w:val="none"/>
        </w:rPr>
      </w:pPr>
      <w:r>
        <w:rPr>
          <w:rFonts w:hint="eastAsia"/>
          <w:color w:val="000000"/>
          <w:highlight w:val="none"/>
        </w:rPr>
        <w:t xml:space="preserve">2.一码信息融合</w:t>
      </w:r>
      <w:r>
        <w:rPr>
          <w:color w:val="000000"/>
          <w:highlight w:val="none"/>
        </w:rPr>
      </w:r>
      <w:r/>
    </w:p>
    <w:p>
      <w:pPr>
        <w:pStyle w:val="873"/>
        <w:ind w:firstLine="640"/>
        <w:rPr>
          <w:color w:val="000000"/>
          <w:highlight w:val="none"/>
        </w:rPr>
      </w:pPr>
      <w:r>
        <w:rPr>
          <w:rFonts w:hint="eastAsia"/>
          <w:color w:val="000000"/>
          <w:highlight w:val="none"/>
        </w:rPr>
        <w:t xml:space="preserve">分析专项调查成果，归纳规划资源部门采集的地块位置、面积等信息，关联补充调查信息与耕地地块属性，实现耕地信息的更新管理。</w:t>
      </w:r>
      <w:r>
        <w:rPr>
          <w:color w:val="000000"/>
          <w:highlight w:val="none"/>
        </w:rPr>
      </w:r>
      <w:r/>
    </w:p>
    <w:p>
      <w:pPr>
        <w:pStyle w:val="873"/>
        <w:ind w:firstLine="640"/>
        <w:rPr>
          <w:color w:val="000000"/>
          <w:highlight w:val="none"/>
        </w:rPr>
      </w:pPr>
      <w:r>
        <w:rPr>
          <w:rFonts w:hint="eastAsia"/>
          <w:color w:val="000000"/>
          <w:highlight w:val="none"/>
        </w:rPr>
        <w:t xml:space="preserve">（2）信息融合与关联</w:t>
      </w:r>
      <w:r>
        <w:rPr>
          <w:color w:val="000000"/>
          <w:highlight w:val="none"/>
        </w:rPr>
      </w:r>
      <w:r/>
    </w:p>
    <w:p>
      <w:pPr>
        <w:pStyle w:val="873"/>
        <w:ind w:firstLine="640"/>
        <w:rPr>
          <w:color w:val="000000"/>
          <w:highlight w:val="none"/>
        </w:rPr>
      </w:pPr>
      <w:r>
        <w:rPr>
          <w:rFonts w:hint="eastAsia"/>
          <w:color w:val="000000"/>
          <w:highlight w:val="none"/>
        </w:rPr>
        <w:t xml:space="preserve">关联行政村责任人信息与耕地地块，支持在地块列表查看责任人信息；依据专项调查成果及管理数据，校核耕地是否为非耕地、永久基本农田，以及是否包含高标准农田、标准化菜地；最终实现扫码即可查看地块详细信息的功能。</w:t>
      </w:r>
      <w:r>
        <w:rPr>
          <w:color w:val="000000"/>
          <w:highlight w:val="none"/>
        </w:rPr>
      </w:r>
      <w:r/>
    </w:p>
    <w:p>
      <w:pPr>
        <w:pStyle w:val="873"/>
        <w:ind w:firstLine="640"/>
        <w:rPr>
          <w:color w:val="000000"/>
          <w:highlight w:val="none"/>
        </w:rPr>
      </w:pPr>
      <w:r>
        <w:rPr>
          <w:rFonts w:hint="eastAsia"/>
          <w:color w:val="000000"/>
          <w:highlight w:val="none"/>
        </w:rPr>
        <w:t xml:space="preserve">（3）“智慧耕保”专题数据库</w:t>
      </w:r>
      <w:r>
        <w:rPr>
          <w:color w:val="000000"/>
          <w:highlight w:val="none"/>
        </w:rPr>
      </w:r>
      <w:r/>
    </w:p>
    <w:p>
      <w:pPr>
        <w:pStyle w:val="873"/>
        <w:ind w:firstLine="640"/>
        <w:rPr>
          <w:color w:val="000000"/>
          <w:highlight w:val="none"/>
        </w:rPr>
      </w:pPr>
      <w:r>
        <w:rPr>
          <w:rFonts w:hint="eastAsia"/>
          <w:color w:val="000000"/>
          <w:highlight w:val="none"/>
        </w:rPr>
        <w:t xml:space="preserve">采购并部署，包含规划资源部门的耕地、非耕地数据及补充调查统计表，林业部门的林草湿普查数据，农业农村部门的高标准农田、标准化菜地摸底数据，并实现多部门数据的集中管理与共享。</w:t>
      </w:r>
      <w:r>
        <w:rPr>
          <w:color w:val="000000"/>
          <w:highlight w:val="none"/>
        </w:rPr>
      </w:r>
      <w:r/>
    </w:p>
    <w:p>
      <w:pPr>
        <w:pStyle w:val="873"/>
        <w:ind w:firstLine="480"/>
        <w:spacing w:line="264" w:lineRule="auto"/>
        <w:rPr>
          <w:rFonts w:hint="eastAsia" w:ascii="黑体" w:hAnsi="黑体" w:eastAsia="黑体" w:cs="黑体"/>
          <w:color w:val="000000"/>
          <w:sz w:val="24"/>
          <w:szCs w:val="24"/>
          <w:highlight w:val="none"/>
        </w:rPr>
      </w:pPr>
      <w:r/>
      <w:bookmarkEnd w:id="21"/>
      <w:r/>
      <w:bookmarkEnd w:id="22"/>
      <w:r>
        <w:rPr>
          <w:rFonts w:hint="eastAsia" w:ascii="黑体" w:hAnsi="黑体" w:eastAsia="黑体" w:cs="黑体"/>
          <w:color w:val="000000"/>
          <w:sz w:val="24"/>
          <w:szCs w:val="24"/>
          <w:highlight w:val="none"/>
        </w:rPr>
        <w:t xml:space="preserve">采购包2：高清影像自动检测功能完善与无人机辅助识别模块产品及数据赋码</w:t>
      </w:r>
      <w:r>
        <w:rPr>
          <w:rFonts w:hint="eastAsia" w:ascii="黑体" w:hAnsi="黑体" w:eastAsia="黑体" w:cs="黑体"/>
          <w:color w:val="000000"/>
          <w:sz w:val="24"/>
          <w:szCs w:val="24"/>
          <w:highlight w:val="none"/>
        </w:rPr>
      </w:r>
      <w:r/>
    </w:p>
    <w:p>
      <w:pPr>
        <w:pStyle w:val="873"/>
        <w:ind w:firstLine="640"/>
        <w:rPr>
          <w:color w:val="000000"/>
          <w:highlight w:val="none"/>
        </w:rPr>
      </w:pPr>
      <w:r>
        <w:rPr>
          <w:rFonts w:hint="eastAsia"/>
          <w:color w:val="000000"/>
          <w:highlight w:val="none"/>
        </w:rPr>
        <w:t xml:space="preserve">通过采购高清影像自动检测平台、无人机辅助识别系统等成熟软件产品，在采购人现场完成硬件及网络环境准备后，由供应商实施系统部署、安装调试、数据接入与功能配置并完成数据赋码，实现对耕地变化图斑的智能识别、快速监测及“一张图”数据动态更新，构建“高清影像自动检测+无人机辅助识别+人工核查”的动态联合监测体系，全面提升耕地监测预警能力。</w:t>
      </w:r>
      <w:r>
        <w:rPr>
          <w:color w:val="000000"/>
          <w:highlight w:val="none"/>
        </w:rPr>
      </w:r>
      <w:r/>
    </w:p>
    <w:p>
      <w:pPr>
        <w:pStyle w:val="873"/>
        <w:ind w:firstLine="640"/>
        <w:rPr>
          <w:color w:val="000000"/>
          <w:highlight w:val="none"/>
        </w:rPr>
      </w:pPr>
      <w:r>
        <w:rPr>
          <w:rFonts w:hint="eastAsia"/>
          <w:color w:val="000000"/>
          <w:highlight w:val="none"/>
        </w:rPr>
        <w:t xml:space="preserve">1.采集任务模块</w:t>
      </w:r>
      <w:r>
        <w:rPr>
          <w:color w:val="000000"/>
          <w:highlight w:val="none"/>
        </w:rPr>
      </w:r>
      <w:r/>
    </w:p>
    <w:p>
      <w:pPr>
        <w:pStyle w:val="873"/>
        <w:ind w:firstLine="640"/>
        <w:rPr>
          <w:color w:val="000000"/>
          <w:highlight w:val="none"/>
        </w:rPr>
      </w:pPr>
      <w:r>
        <w:rPr>
          <w:rFonts w:hint="eastAsia"/>
          <w:color w:val="000000"/>
          <w:highlight w:val="none"/>
        </w:rPr>
        <w:t xml:space="preserve">采购并部署全域巡查任务调度系统，内置航线自动规划、任务管理及可视化监管模块，产品支持耕地巡查举证的“全域覆盖高效化、任务调度自动化、数据管理精准化”，包含低空数据采集航线设计、固定及临时全景点采集任务管理。</w:t>
      </w:r>
      <w:r>
        <w:rPr>
          <w:color w:val="000000"/>
          <w:highlight w:val="none"/>
        </w:rPr>
      </w:r>
      <w:r/>
    </w:p>
    <w:p>
      <w:pPr>
        <w:pStyle w:val="873"/>
        <w:ind w:firstLine="640"/>
        <w:rPr>
          <w:color w:val="000000"/>
          <w:highlight w:val="none"/>
        </w:rPr>
      </w:pPr>
      <w:r>
        <w:rPr>
          <w:rFonts w:hint="eastAsia"/>
          <w:color w:val="000000"/>
          <w:highlight w:val="none"/>
        </w:rPr>
        <w:t xml:space="preserve">（1）面向耕地全域巡查、举证图斑核实业务的低空数据采集航线设计</w:t>
      </w:r>
      <w:r>
        <w:rPr>
          <w:color w:val="000000"/>
          <w:highlight w:val="none"/>
        </w:rPr>
      </w:r>
      <w:r/>
    </w:p>
    <w:p>
      <w:pPr>
        <w:pStyle w:val="873"/>
        <w:ind w:firstLine="640"/>
        <w:rPr>
          <w:color w:val="000000"/>
          <w:highlight w:val="none"/>
        </w:rPr>
      </w:pPr>
      <w:r>
        <w:rPr>
          <w:rFonts w:hint="eastAsia"/>
          <w:color w:val="000000"/>
          <w:highlight w:val="none"/>
        </w:rPr>
        <w:t xml:space="preserve">支持上传矢量或手绘范围，自动生成全域巡查的固定全景采集点，数据可按shp格式下载；根据用户上传的举证图斑及起飞点、降落点，自动设计覆盖所有举证图斑的最短无人机巡查航线；对历史航线进行列表管理，提供查询、统计及空间可视化查看。</w:t>
      </w:r>
      <w:r>
        <w:rPr>
          <w:color w:val="000000"/>
          <w:highlight w:val="none"/>
        </w:rPr>
      </w:r>
      <w:r/>
    </w:p>
    <w:p>
      <w:pPr>
        <w:pStyle w:val="873"/>
        <w:ind w:firstLine="640"/>
        <w:rPr>
          <w:color w:val="000000"/>
          <w:highlight w:val="none"/>
        </w:rPr>
      </w:pPr>
      <w:r>
        <w:rPr>
          <w:rFonts w:hint="eastAsia"/>
          <w:color w:val="000000"/>
          <w:highlight w:val="none"/>
        </w:rPr>
        <w:t xml:space="preserve">（2）固定全景点采集任务管理</w:t>
      </w:r>
      <w:r>
        <w:rPr>
          <w:color w:val="000000"/>
          <w:highlight w:val="none"/>
        </w:rPr>
      </w:r>
      <w:r/>
    </w:p>
    <w:p>
      <w:pPr>
        <w:pStyle w:val="873"/>
        <w:ind w:firstLine="640"/>
        <w:rPr>
          <w:color w:val="000000"/>
          <w:highlight w:val="none"/>
        </w:rPr>
      </w:pPr>
      <w:r>
        <w:rPr>
          <w:rFonts w:hint="eastAsia"/>
          <w:color w:val="000000"/>
          <w:highlight w:val="none"/>
        </w:rPr>
        <w:t xml:space="preserve">建立飞手账号与固定全景采集点的关联关系，统一管理账号、全景点、行政区等信息；提供任务统计、查询功能，通过消息提醒飞手需上传数据量及截止时间；支持按全景上传时间进行多批次分类管理，提升任务执行效率。</w:t>
      </w:r>
      <w:r>
        <w:rPr>
          <w:color w:val="000000"/>
          <w:highlight w:val="none"/>
        </w:rPr>
      </w:r>
      <w:r/>
    </w:p>
    <w:p>
      <w:pPr>
        <w:pStyle w:val="873"/>
        <w:ind w:firstLine="640"/>
        <w:rPr>
          <w:color w:val="000000"/>
          <w:highlight w:val="none"/>
        </w:rPr>
      </w:pPr>
      <w:r>
        <w:rPr>
          <w:rFonts w:hint="eastAsia"/>
          <w:color w:val="000000"/>
          <w:highlight w:val="none"/>
        </w:rPr>
        <w:t xml:space="preserve">（3）临时全景点采集任务管理</w:t>
      </w:r>
      <w:r>
        <w:rPr>
          <w:color w:val="000000"/>
          <w:highlight w:val="none"/>
        </w:rPr>
      </w:r>
      <w:r/>
    </w:p>
    <w:p>
      <w:pPr>
        <w:pStyle w:val="873"/>
        <w:ind w:firstLine="640"/>
        <w:rPr>
          <w:color w:val="000000"/>
          <w:highlight w:val="none"/>
        </w:rPr>
      </w:pPr>
      <w:r>
        <w:rPr>
          <w:rFonts w:hint="eastAsia"/>
          <w:color w:val="000000"/>
          <w:highlight w:val="none"/>
        </w:rPr>
        <w:t xml:space="preserve">支持用户上传非固定点位的无人机全景照片，自动创建临时任务并与固定任务区分，地图上以不同标识显示固定与临时全景点；提供临时任务的统计、查询功能，实时获取并记录拍摄坐标、时间、高度等数据，确保临时采集数据的有效管理。</w:t>
      </w:r>
      <w:r>
        <w:rPr>
          <w:color w:val="000000"/>
          <w:highlight w:val="none"/>
        </w:rPr>
      </w:r>
      <w:r/>
    </w:p>
    <w:p>
      <w:pPr>
        <w:pStyle w:val="873"/>
        <w:ind w:firstLine="640"/>
        <w:rPr>
          <w:color w:val="000000"/>
          <w:highlight w:val="none"/>
        </w:rPr>
      </w:pPr>
      <w:r>
        <w:rPr>
          <w:rFonts w:hint="eastAsia"/>
          <w:color w:val="000000"/>
          <w:highlight w:val="none"/>
        </w:rPr>
        <w:t xml:space="preserve">2.飞行数据处理模块</w:t>
      </w:r>
      <w:r>
        <w:rPr>
          <w:color w:val="000000"/>
          <w:highlight w:val="none"/>
        </w:rPr>
      </w:r>
      <w:r/>
    </w:p>
    <w:p>
      <w:pPr>
        <w:pStyle w:val="873"/>
        <w:ind w:firstLine="640"/>
        <w:rPr>
          <w:color w:val="000000"/>
          <w:highlight w:val="none"/>
        </w:rPr>
      </w:pPr>
      <w:r>
        <w:rPr>
          <w:rFonts w:hint="eastAsia"/>
          <w:color w:val="000000"/>
          <w:highlight w:val="none"/>
        </w:rPr>
        <w:t xml:space="preserve">采购并部署配置低空数据智能处理平台，平台需已内置无人机多类型数据汇入、全景数据处理、全景与地图联动、举证图像融合等功能，通过自动化质检、可视化展示及精准配准，实现“数据质检自动化、全景监测立体化、举证核查精准化”。</w:t>
      </w:r>
      <w:r>
        <w:rPr>
          <w:color w:val="000000"/>
          <w:highlight w:val="none"/>
        </w:rPr>
      </w:r>
      <w:r/>
    </w:p>
    <w:p>
      <w:pPr>
        <w:pStyle w:val="873"/>
        <w:ind w:firstLine="640"/>
        <w:rPr>
          <w:color w:val="000000"/>
          <w:highlight w:val="none"/>
        </w:rPr>
      </w:pPr>
      <w:r>
        <w:rPr>
          <w:rFonts w:hint="eastAsia"/>
          <w:color w:val="000000"/>
          <w:highlight w:val="none"/>
        </w:rPr>
        <w:t xml:space="preserve">（1）无人机多类型数据汇入处理</w:t>
      </w:r>
      <w:r>
        <w:rPr>
          <w:color w:val="000000"/>
          <w:highlight w:val="none"/>
        </w:rPr>
      </w:r>
      <w:r/>
    </w:p>
    <w:p>
      <w:pPr>
        <w:pStyle w:val="873"/>
        <w:ind w:firstLine="640"/>
        <w:rPr>
          <w:color w:val="000000"/>
          <w:highlight w:val="none"/>
        </w:rPr>
      </w:pPr>
      <w:r>
        <w:rPr>
          <w:rFonts w:hint="eastAsia"/>
          <w:color w:val="000000"/>
          <w:highlight w:val="none"/>
        </w:rPr>
        <w:t xml:space="preserve">系统需已预先集成无人机全景、图像数据等汇入接口，通过对数据进行质检，判断飞行时间、拍摄位置是否符合任务要求，用绿色标记合格点位、橙色标记不合格点位并反馈原因；支持按时间筛选低空数据，实现航片免切片处理与展示，自动解析拍摄位置并动态加载点位。</w:t>
      </w:r>
      <w:r>
        <w:rPr>
          <w:color w:val="000000"/>
          <w:highlight w:val="none"/>
        </w:rPr>
      </w:r>
      <w:r/>
    </w:p>
    <w:p>
      <w:pPr>
        <w:pStyle w:val="873"/>
        <w:ind w:firstLine="640"/>
        <w:rPr>
          <w:color w:val="000000"/>
          <w:highlight w:val="none"/>
        </w:rPr>
      </w:pPr>
      <w:r>
        <w:rPr>
          <w:rFonts w:hint="eastAsia"/>
          <w:color w:val="000000"/>
          <w:highlight w:val="none"/>
        </w:rPr>
        <w:t xml:space="preserve">（2）全景数据处理</w:t>
      </w:r>
      <w:r>
        <w:rPr>
          <w:color w:val="000000"/>
          <w:highlight w:val="none"/>
        </w:rPr>
      </w:r>
      <w:r/>
    </w:p>
    <w:p>
      <w:pPr>
        <w:pStyle w:val="873"/>
        <w:ind w:firstLine="640"/>
        <w:rPr>
          <w:color w:val="000000"/>
          <w:highlight w:val="none"/>
        </w:rPr>
      </w:pPr>
      <w:r>
        <w:rPr>
          <w:rFonts w:hint="eastAsia"/>
          <w:color w:val="000000"/>
          <w:highlight w:val="none"/>
        </w:rPr>
        <w:t xml:space="preserve">全景数据上传后自动关联全景点，在点位上展示已有照片数量，通过气泡显示点位名称、飞手信息及最近拍摄的全景照片；提供关联全景照片的管理列表，支持查看全景照片及覆盖范围，实现全景数据自动旋转播放及多期数据联动展示。</w:t>
      </w:r>
      <w:r>
        <w:rPr>
          <w:color w:val="000000"/>
          <w:highlight w:val="none"/>
        </w:rPr>
      </w:r>
      <w:r/>
    </w:p>
    <w:p>
      <w:pPr>
        <w:pStyle w:val="873"/>
        <w:ind w:firstLine="640"/>
        <w:rPr>
          <w:color w:val="000000"/>
          <w:highlight w:val="none"/>
        </w:rPr>
      </w:pPr>
      <w:r>
        <w:rPr>
          <w:rFonts w:hint="eastAsia"/>
          <w:color w:val="000000"/>
          <w:highlight w:val="none"/>
        </w:rPr>
        <w:t xml:space="preserve">（3）全景数据与地图联动</w:t>
      </w:r>
      <w:r>
        <w:rPr>
          <w:color w:val="000000"/>
          <w:highlight w:val="none"/>
        </w:rPr>
      </w:r>
      <w:r/>
    </w:p>
    <w:p>
      <w:pPr>
        <w:pStyle w:val="873"/>
        <w:ind w:firstLine="640"/>
        <w:rPr>
          <w:color w:val="000000"/>
          <w:highlight w:val="none"/>
        </w:rPr>
      </w:pPr>
      <w:r>
        <w:rPr>
          <w:rFonts w:hint="eastAsia"/>
          <w:color w:val="000000"/>
          <w:highlight w:val="none"/>
        </w:rPr>
        <w:t xml:space="preserve">支持全景数据与地图联动展示，在地图上显示全景对应的点位及方向角；实现矢量图斑与全景融合，可控制图斑显隐；支持地图跟随全景数据联动旋转，并提供控制按钮切换联动状态。</w:t>
      </w:r>
      <w:r>
        <w:rPr>
          <w:color w:val="000000"/>
          <w:highlight w:val="none"/>
        </w:rPr>
      </w:r>
      <w:r/>
    </w:p>
    <w:p>
      <w:pPr>
        <w:pStyle w:val="873"/>
        <w:ind w:firstLine="640"/>
        <w:rPr>
          <w:color w:val="000000"/>
          <w:highlight w:val="none"/>
        </w:rPr>
      </w:pPr>
      <w:r>
        <w:rPr>
          <w:rFonts w:hint="eastAsia"/>
          <w:color w:val="000000"/>
          <w:highlight w:val="none"/>
        </w:rPr>
        <w:t xml:space="preserve">（4）无人机举证图像融合</w:t>
      </w:r>
      <w:r>
        <w:rPr>
          <w:color w:val="000000"/>
          <w:highlight w:val="none"/>
        </w:rPr>
      </w:r>
      <w:r/>
    </w:p>
    <w:p>
      <w:pPr>
        <w:pStyle w:val="873"/>
        <w:ind w:firstLine="640"/>
        <w:rPr>
          <w:color w:val="000000"/>
          <w:highlight w:val="none"/>
        </w:rPr>
      </w:pPr>
      <w:r>
        <w:rPr>
          <w:rFonts w:hint="eastAsia"/>
          <w:color w:val="000000"/>
          <w:highlight w:val="none"/>
        </w:rPr>
        <w:t xml:space="preserve">依据无人机举证图像的拍摄方位信息，自动融合图像，支持控制举证图像显隐及叠加举证图斑，提升举证核查的精准度与直观性。</w:t>
      </w:r>
      <w:r>
        <w:rPr>
          <w:color w:val="000000"/>
          <w:highlight w:val="none"/>
        </w:rPr>
      </w:r>
      <w:r/>
    </w:p>
    <w:p>
      <w:pPr>
        <w:pStyle w:val="873"/>
        <w:ind w:firstLine="640"/>
        <w:rPr>
          <w:color w:val="000000"/>
          <w:highlight w:val="none"/>
        </w:rPr>
      </w:pPr>
      <w:r>
        <w:rPr>
          <w:rFonts w:hint="eastAsia"/>
          <w:color w:val="000000"/>
          <w:highlight w:val="none"/>
        </w:rPr>
        <w:t xml:space="preserve">3.数据分析模块</w:t>
      </w:r>
      <w:r>
        <w:rPr>
          <w:color w:val="000000"/>
          <w:highlight w:val="none"/>
        </w:rPr>
      </w:r>
      <w:r/>
    </w:p>
    <w:p>
      <w:pPr>
        <w:pStyle w:val="873"/>
        <w:ind w:firstLine="640"/>
        <w:rPr>
          <w:color w:val="000000"/>
          <w:highlight w:val="none"/>
        </w:rPr>
      </w:pPr>
      <w:r>
        <w:rPr>
          <w:rFonts w:hint="eastAsia"/>
          <w:color w:val="000000"/>
          <w:highlight w:val="none"/>
        </w:rPr>
        <w:t xml:space="preserve">采购并部署配置耕地智能监测分析系统，通过系统具备的智能检测、线索流转及多维展示功能，实现“模型优化持续化、智能分析精准化、线索处置流程化、决策支持可视化”，深度挖掘耕地保护数据并形成闭环管控。</w:t>
      </w:r>
      <w:r>
        <w:rPr>
          <w:color w:val="000000"/>
          <w:highlight w:val="none"/>
        </w:rPr>
      </w:r>
      <w:r/>
    </w:p>
    <w:p>
      <w:pPr>
        <w:pStyle w:val="873"/>
        <w:ind w:firstLine="640"/>
        <w:rPr>
          <w:color w:val="000000"/>
          <w:highlight w:val="none"/>
        </w:rPr>
      </w:pPr>
      <w:r>
        <w:rPr>
          <w:rFonts w:hint="eastAsia"/>
          <w:color w:val="000000"/>
          <w:highlight w:val="none"/>
        </w:rPr>
        <w:t xml:space="preserve">（1）无人机全景线索检测样本生产</w:t>
      </w:r>
      <w:r>
        <w:rPr>
          <w:color w:val="000000"/>
          <w:highlight w:val="none"/>
        </w:rPr>
      </w:r>
      <w:r/>
    </w:p>
    <w:p>
      <w:pPr>
        <w:pStyle w:val="873"/>
        <w:ind w:firstLine="640"/>
        <w:rPr>
          <w:color w:val="000000"/>
          <w:highlight w:val="none"/>
        </w:rPr>
      </w:pPr>
      <w:r>
        <w:rPr>
          <w:rFonts w:hint="eastAsia"/>
          <w:color w:val="000000"/>
          <w:highlight w:val="none"/>
        </w:rPr>
        <w:t xml:space="preserve">采集全市多期无人机全景照片，进行自动化数据清洗与预处理；根据业务场景及街道需求，设计特定线索检测类型，组织开展样本标注、质检、复查；安排团队按管理流程生产检测样本，为智能检测模型提供数据支撑。</w:t>
      </w:r>
      <w:r>
        <w:rPr>
          <w:color w:val="000000"/>
          <w:highlight w:val="none"/>
        </w:rPr>
      </w:r>
      <w:r/>
    </w:p>
    <w:p>
      <w:pPr>
        <w:pStyle w:val="873"/>
        <w:ind w:firstLine="640"/>
        <w:rPr>
          <w:color w:val="000000"/>
          <w:highlight w:val="none"/>
        </w:rPr>
      </w:pPr>
      <w:r>
        <w:rPr>
          <w:rFonts w:hint="eastAsia"/>
          <w:color w:val="000000"/>
          <w:highlight w:val="none"/>
        </w:rPr>
        <w:t xml:space="preserve">（2）无人机全景数据线索目标检测</w:t>
      </w:r>
      <w:r>
        <w:rPr>
          <w:color w:val="000000"/>
          <w:highlight w:val="none"/>
        </w:rPr>
      </w:r>
      <w:r/>
    </w:p>
    <w:p>
      <w:pPr>
        <w:pStyle w:val="873"/>
        <w:ind w:firstLine="640"/>
        <w:rPr>
          <w:color w:val="000000"/>
          <w:highlight w:val="none"/>
        </w:rPr>
      </w:pPr>
      <w:r>
        <w:rPr>
          <w:rFonts w:hint="eastAsia"/>
          <w:color w:val="000000"/>
          <w:highlight w:val="none"/>
        </w:rPr>
        <w:t xml:space="preserve">产品支持对上传的全景数据进行分析，通过变化检测查找新增耕地“非农化”、典型“非粮化”目标范围，生成带空间坐标的线索，仅保留全景拍摄点位范围内的线索；将线索与耕地、高标准农田等业务图斑叠加分析并分类，支持线索任务管理及剔除不检测区域的线索。</w:t>
      </w:r>
      <w:r>
        <w:rPr>
          <w:color w:val="000000"/>
          <w:highlight w:val="none"/>
        </w:rPr>
      </w:r>
      <w:r/>
    </w:p>
    <w:p>
      <w:pPr>
        <w:pStyle w:val="873"/>
        <w:ind w:firstLine="640"/>
        <w:rPr>
          <w:color w:val="000000"/>
          <w:highlight w:val="none"/>
        </w:rPr>
      </w:pPr>
      <w:r>
        <w:rPr>
          <w:rFonts w:hint="eastAsia"/>
          <w:color w:val="000000"/>
          <w:highlight w:val="none"/>
        </w:rPr>
        <w:t xml:space="preserve">（3）无人机全景线索辅助判读</w:t>
      </w:r>
      <w:r>
        <w:rPr>
          <w:color w:val="000000"/>
          <w:highlight w:val="none"/>
        </w:rPr>
      </w:r>
      <w:r/>
    </w:p>
    <w:p>
      <w:pPr>
        <w:pStyle w:val="873"/>
        <w:ind w:firstLine="640"/>
        <w:rPr>
          <w:color w:val="000000"/>
          <w:highlight w:val="none"/>
        </w:rPr>
      </w:pPr>
      <w:r>
        <w:rPr>
          <w:rFonts w:hint="eastAsia"/>
          <w:color w:val="000000"/>
          <w:highlight w:val="none"/>
        </w:rPr>
        <w:t xml:space="preserve">产品支持提供全景列表、照片展示、线索展示、判读列表等功能，支持全景数据切换、线索有效性判读；支持线索定位、位置修改、多期全景分屏对比新增线索，允许人工添加线索及区分外业核实结果、录入核实结论。</w:t>
      </w:r>
      <w:r>
        <w:rPr>
          <w:color w:val="000000"/>
          <w:highlight w:val="none"/>
        </w:rPr>
      </w:r>
      <w:r/>
    </w:p>
    <w:p>
      <w:pPr>
        <w:pStyle w:val="873"/>
        <w:ind w:firstLine="640"/>
        <w:rPr>
          <w:color w:val="000000"/>
          <w:highlight w:val="none"/>
        </w:rPr>
      </w:pPr>
      <w:r>
        <w:rPr>
          <w:rFonts w:hint="eastAsia"/>
          <w:color w:val="000000"/>
          <w:highlight w:val="none"/>
        </w:rPr>
        <w:t xml:space="preserve">（4）满足“一田一码”业务需求的高时空分辨率无人机航片检测样本生产</w:t>
      </w:r>
      <w:r>
        <w:rPr>
          <w:color w:val="000000"/>
          <w:highlight w:val="none"/>
        </w:rPr>
      </w:r>
      <w:r/>
    </w:p>
    <w:p>
      <w:pPr>
        <w:pStyle w:val="873"/>
        <w:ind w:firstLine="640"/>
        <w:rPr>
          <w:color w:val="000000"/>
          <w:highlight w:val="none"/>
        </w:rPr>
      </w:pPr>
      <w:r>
        <w:rPr>
          <w:rFonts w:hint="eastAsia"/>
          <w:color w:val="000000"/>
          <w:highlight w:val="none"/>
        </w:rPr>
        <w:t xml:space="preserve">根据耕地保护需求构建语义分类依据，组织标注团队按流程生产样本，满足高时空分辨率下的航片检测需求。</w:t>
      </w:r>
      <w:r>
        <w:rPr>
          <w:color w:val="000000"/>
          <w:highlight w:val="none"/>
        </w:rPr>
      </w:r>
      <w:r/>
    </w:p>
    <w:p>
      <w:pPr>
        <w:pStyle w:val="873"/>
        <w:ind w:firstLine="640"/>
        <w:rPr>
          <w:color w:val="000000"/>
          <w:highlight w:val="none"/>
        </w:rPr>
      </w:pPr>
      <w:r>
        <w:rPr>
          <w:rFonts w:hint="eastAsia"/>
          <w:color w:val="000000"/>
          <w:highlight w:val="none"/>
        </w:rPr>
        <w:t xml:space="preserve">（5）</w:t>
      </w:r>
      <w:r>
        <w:rPr>
          <w:rFonts w:hint="eastAsia" w:ascii="仿宋" w:hAnsi="仿宋"/>
          <w:color w:val="000000"/>
          <w:highlight w:val="none"/>
        </w:rPr>
        <w:t xml:space="preserve">高清影像自动检测功能完善</w:t>
      </w:r>
      <w:r>
        <w:rPr>
          <w:color w:val="000000"/>
          <w:highlight w:val="none"/>
        </w:rPr>
      </w:r>
      <w:r/>
    </w:p>
    <w:p>
      <w:pPr>
        <w:pStyle w:val="873"/>
        <w:ind w:firstLine="640"/>
        <w:rPr>
          <w:color w:val="000000"/>
          <w:highlight w:val="none"/>
        </w:rPr>
      </w:pPr>
      <w:r>
        <w:rPr>
          <w:color w:val="000000"/>
          <w:highlight w:val="none"/>
        </w:rPr>
        <w:t xml:space="preserve">对高时空分辨率无人机航片进行地类提取与变化分析；支持语义标签拼接、空间配准、多坐标系参考赋值、矢量转换，形成合规图斑；提供数据及成果注册功能，支持查看检测结果、处置图斑、调用多GPU分布式处理，以及逐图斑查看结果、卷帘或分屏对比变化、叠加业务数据统计分析。</w:t>
      </w:r>
      <w:r>
        <w:rPr>
          <w:color w:val="000000"/>
          <w:highlight w:val="none"/>
        </w:rPr>
      </w:r>
      <w:r/>
    </w:p>
    <w:p>
      <w:pPr>
        <w:pStyle w:val="873"/>
        <w:ind w:firstLine="640"/>
        <w:rPr>
          <w:color w:val="000000"/>
          <w:highlight w:val="none"/>
        </w:rPr>
      </w:pPr>
      <w:r>
        <w:rPr>
          <w:rFonts w:hint="eastAsia"/>
          <w:color w:val="000000"/>
          <w:highlight w:val="none"/>
        </w:rPr>
        <w:t xml:space="preserve">（</w:t>
      </w:r>
      <w:r>
        <w:rPr>
          <w:color w:val="000000"/>
          <w:highlight w:val="none"/>
        </w:rPr>
        <w:t xml:space="preserve">6</w:t>
      </w:r>
      <w:r>
        <w:rPr>
          <w:rFonts w:hint="eastAsia"/>
          <w:color w:val="000000"/>
          <w:highlight w:val="none"/>
        </w:rPr>
        <w:t xml:space="preserve">）非无人机图斑与全景融合</w:t>
      </w:r>
      <w:r>
        <w:rPr>
          <w:color w:val="000000"/>
          <w:highlight w:val="none"/>
        </w:rPr>
      </w:r>
      <w:r/>
    </w:p>
    <w:p>
      <w:pPr>
        <w:pStyle w:val="873"/>
        <w:ind w:firstLine="640"/>
        <w:rPr>
          <w:color w:val="000000"/>
          <w:highlight w:val="none"/>
        </w:rPr>
      </w:pPr>
      <w:r>
        <w:rPr>
          <w:rFonts w:hint="eastAsia"/>
          <w:color w:val="000000"/>
          <w:highlight w:val="none"/>
        </w:rPr>
        <w:t xml:space="preserve">提供接口导入部执法图斑、省卫片图斑等非无人机业务图斑，按图斑类型展示不同属性信息；支持非无人机图斑与全景融合判读，实现无人机图斑与全景点位自动关联，切换全景图片时视角自动旋转至图斑位置，提升多源数据协同分析能力。</w:t>
      </w:r>
      <w:r>
        <w:rPr>
          <w:color w:val="000000"/>
          <w:highlight w:val="none"/>
        </w:rPr>
      </w:r>
      <w:r/>
    </w:p>
    <w:p>
      <w:pPr>
        <w:pStyle w:val="873"/>
        <w:ind w:firstLine="640"/>
        <w:rPr>
          <w:color w:val="000000"/>
          <w:highlight w:val="none"/>
        </w:rPr>
      </w:pPr>
      <w:r>
        <w:rPr>
          <w:rFonts w:hint="eastAsia"/>
          <w:color w:val="000000"/>
          <w:highlight w:val="none"/>
        </w:rPr>
        <w:t xml:space="preserve">（</w:t>
      </w:r>
      <w:r>
        <w:rPr>
          <w:color w:val="000000"/>
          <w:highlight w:val="none"/>
        </w:rPr>
        <w:t xml:space="preserve">7</w:t>
      </w:r>
      <w:r>
        <w:rPr>
          <w:rFonts w:hint="eastAsia"/>
          <w:color w:val="000000"/>
          <w:highlight w:val="none"/>
        </w:rPr>
        <w:t xml:space="preserve">）分析线索流转</w:t>
      </w:r>
      <w:r>
        <w:rPr>
          <w:color w:val="000000"/>
          <w:highlight w:val="none"/>
        </w:rPr>
      </w:r>
      <w:r/>
    </w:p>
    <w:p>
      <w:pPr>
        <w:pStyle w:val="873"/>
        <w:ind w:firstLine="640"/>
        <w:rPr>
          <w:color w:val="000000"/>
          <w:highlight w:val="none"/>
        </w:rPr>
      </w:pPr>
      <w:r>
        <w:rPr>
          <w:rFonts w:hint="eastAsia"/>
          <w:color w:val="000000"/>
          <w:highlight w:val="none"/>
        </w:rPr>
        <w:t xml:space="preserve">判读后的线索可一键按固定模板导出报告，提供历史报告管理与下载功能；支持将线索推送至“宁耕保”移动端及农业农村局、林业局等单位和业务系统，实现线索高效流转。</w:t>
      </w:r>
      <w:r>
        <w:rPr>
          <w:color w:val="000000"/>
          <w:highlight w:val="none"/>
        </w:rPr>
      </w:r>
      <w:r/>
    </w:p>
    <w:p>
      <w:pPr>
        <w:pStyle w:val="873"/>
        <w:ind w:firstLine="640"/>
        <w:rPr>
          <w:color w:val="000000"/>
          <w:highlight w:val="none"/>
        </w:rPr>
      </w:pPr>
      <w:r>
        <w:rPr>
          <w:rFonts w:hint="eastAsia"/>
          <w:color w:val="000000"/>
          <w:highlight w:val="none"/>
        </w:rPr>
        <w:t xml:space="preserve">（</w:t>
      </w:r>
      <w:r>
        <w:rPr>
          <w:color w:val="000000"/>
          <w:highlight w:val="none"/>
        </w:rPr>
        <w:t xml:space="preserve">8</w:t>
      </w:r>
      <w:r>
        <w:rPr>
          <w:rFonts w:hint="eastAsia"/>
          <w:color w:val="000000"/>
          <w:highlight w:val="none"/>
        </w:rPr>
        <w:t xml:space="preserve">）有效线索展示</w:t>
      </w:r>
      <w:r>
        <w:rPr>
          <w:color w:val="000000"/>
          <w:highlight w:val="none"/>
        </w:rPr>
      </w:r>
      <w:r/>
    </w:p>
    <w:p>
      <w:pPr>
        <w:pStyle w:val="873"/>
        <w:ind w:firstLine="640"/>
        <w:rPr>
          <w:color w:val="000000"/>
          <w:highlight w:val="none"/>
        </w:rPr>
      </w:pPr>
      <w:r>
        <w:rPr>
          <w:rFonts w:hint="eastAsia"/>
          <w:color w:val="000000"/>
          <w:highlight w:val="none"/>
        </w:rPr>
        <w:t xml:space="preserve">统计线索类型占比、分布区域等，用饼图、柱状图等多维图表展示；点击线索点可查看截图、时间等信息，支持按时间筛选线索点及按业务场景展示定制化统计视图，兼顾权限控制，确保展示信息与用户角色匹配。</w:t>
      </w:r>
      <w:r>
        <w:rPr>
          <w:color w:val="000000"/>
          <w:highlight w:val="none"/>
        </w:rPr>
      </w:r>
      <w:r/>
    </w:p>
    <w:p>
      <w:pPr>
        <w:pStyle w:val="873"/>
        <w:ind w:firstLine="640"/>
        <w:rPr>
          <w:color w:val="000000"/>
          <w:highlight w:val="none"/>
        </w:rPr>
      </w:pPr>
      <w:r>
        <w:rPr>
          <w:rFonts w:hint="eastAsia"/>
          <w:color w:val="000000"/>
          <w:highlight w:val="none"/>
        </w:rPr>
        <w:t xml:space="preserve">4.数据权限划分模块</w:t>
      </w:r>
      <w:r>
        <w:rPr>
          <w:color w:val="000000"/>
          <w:highlight w:val="none"/>
        </w:rPr>
      </w:r>
      <w:r/>
    </w:p>
    <w:p>
      <w:pPr>
        <w:pStyle w:val="873"/>
        <w:ind w:firstLine="640"/>
        <w:rPr>
          <w:color w:val="000000"/>
          <w:highlight w:val="none"/>
        </w:rPr>
      </w:pPr>
      <w:r>
        <w:rPr>
          <w:rFonts w:hint="eastAsia"/>
          <w:color w:val="000000"/>
          <w:highlight w:val="none"/>
        </w:rPr>
        <w:t xml:space="preserve">配置权限管理模块，提供权限管理、日志管理等。</w:t>
      </w:r>
      <w:r>
        <w:rPr>
          <w:color w:val="000000"/>
          <w:highlight w:val="none"/>
        </w:rPr>
      </w:r>
      <w:r/>
    </w:p>
    <w:p>
      <w:pPr>
        <w:pStyle w:val="873"/>
        <w:ind w:firstLine="640"/>
        <w:rPr>
          <w:color w:val="000000"/>
          <w:highlight w:val="none"/>
        </w:rPr>
      </w:pPr>
      <w:r>
        <w:rPr>
          <w:rFonts w:hint="eastAsia"/>
          <w:color w:val="000000"/>
          <w:highlight w:val="none"/>
        </w:rPr>
        <w:t xml:space="preserve">（1）</w:t>
      </w:r>
      <w:bookmarkStart w:id="23" w:name="OLE_LINK2"/>
      <w:r/>
      <w:bookmarkStart w:id="24" w:name="OLE_LINK3"/>
      <w:r>
        <w:rPr>
          <w:rFonts w:hint="eastAsia"/>
          <w:color w:val="000000"/>
          <w:highlight w:val="none"/>
        </w:rPr>
        <w:t xml:space="preserve">权限管理</w:t>
      </w:r>
      <w:bookmarkEnd w:id="23"/>
      <w:r/>
      <w:bookmarkEnd w:id="24"/>
      <w:r>
        <w:rPr>
          <w:color w:val="000000"/>
          <w:highlight w:val="none"/>
        </w:rPr>
      </w:r>
      <w:r/>
    </w:p>
    <w:p>
      <w:pPr>
        <w:pStyle w:val="873"/>
        <w:ind w:firstLine="640"/>
        <w:rPr>
          <w:color w:val="000000"/>
          <w:highlight w:val="none"/>
        </w:rPr>
      </w:pPr>
      <w:r>
        <w:rPr>
          <w:rFonts w:hint="eastAsia"/>
          <w:color w:val="000000"/>
          <w:highlight w:val="none"/>
        </w:rPr>
        <w:t xml:space="preserve">对系统角色进行管理，确保不同层级用户仅能访问对应权限范围内的功能与数据。</w:t>
      </w:r>
      <w:r>
        <w:rPr>
          <w:color w:val="000000"/>
          <w:highlight w:val="none"/>
        </w:rPr>
      </w:r>
      <w:r/>
    </w:p>
    <w:p>
      <w:pPr>
        <w:pStyle w:val="873"/>
        <w:ind w:firstLine="640"/>
        <w:rPr>
          <w:color w:val="000000"/>
          <w:highlight w:val="none"/>
        </w:rPr>
      </w:pPr>
      <w:r>
        <w:rPr>
          <w:rFonts w:hint="eastAsia"/>
          <w:color w:val="000000"/>
          <w:highlight w:val="none"/>
        </w:rPr>
        <w:t xml:space="preserve">（2）日志</w:t>
      </w:r>
      <w:bookmarkStart w:id="25" w:name="OLE_LINK5"/>
      <w:r/>
      <w:bookmarkStart w:id="26" w:name="OLE_LINK4"/>
      <w:r>
        <w:rPr>
          <w:rFonts w:hint="eastAsia"/>
          <w:color w:val="000000"/>
          <w:highlight w:val="none"/>
        </w:rPr>
        <w:t xml:space="preserve">管理</w:t>
      </w:r>
      <w:bookmarkEnd w:id="25"/>
      <w:r/>
      <w:bookmarkEnd w:id="26"/>
      <w:r>
        <w:rPr>
          <w:color w:val="000000"/>
          <w:highlight w:val="none"/>
        </w:rPr>
      </w:r>
      <w:r/>
    </w:p>
    <w:p>
      <w:pPr>
        <w:pStyle w:val="873"/>
        <w:ind w:firstLine="640"/>
        <w:rPr>
          <w:color w:val="000000"/>
          <w:highlight w:val="none"/>
        </w:rPr>
      </w:pPr>
      <w:r>
        <w:rPr>
          <w:rFonts w:hint="eastAsia"/>
          <w:color w:val="000000"/>
          <w:highlight w:val="none"/>
        </w:rPr>
        <w:t xml:space="preserve">记录所有用户的操作日志，为系统安全审计及问题追溯提供依据。</w:t>
      </w:r>
      <w:r>
        <w:rPr>
          <w:color w:val="000000"/>
          <w:highlight w:val="none"/>
        </w:rPr>
      </w:r>
      <w:r/>
    </w:p>
    <w:p>
      <w:pPr>
        <w:pStyle w:val="873"/>
        <w:numPr>
          <w:ilvl w:val="0"/>
          <w:numId w:val="5"/>
        </w:numPr>
        <w:ind w:firstLine="640"/>
        <w:rPr>
          <w:color w:val="000000"/>
          <w:highlight w:val="none"/>
        </w:rPr>
      </w:pPr>
      <w:r>
        <w:rPr>
          <w:rFonts w:hint="eastAsia"/>
          <w:color w:val="000000"/>
          <w:highlight w:val="none"/>
        </w:rPr>
        <w:t xml:space="preserve">菜单与字典管理</w:t>
      </w:r>
      <w:r>
        <w:rPr>
          <w:color w:val="000000"/>
          <w:highlight w:val="none"/>
        </w:rPr>
      </w:r>
      <w:r/>
    </w:p>
    <w:p>
      <w:pPr>
        <w:pStyle w:val="873"/>
        <w:ind w:firstLine="640"/>
        <w:rPr>
          <w:color w:val="000000"/>
          <w:highlight w:val="none"/>
        </w:rPr>
      </w:pPr>
      <w:r>
        <w:rPr>
          <w:rFonts w:hint="eastAsia"/>
          <w:color w:val="000000"/>
          <w:highlight w:val="none"/>
        </w:rPr>
        <w:t xml:space="preserve">对系统功能模块、字典项进行配置管理，确保系统功能正常运转。</w:t>
      </w:r>
      <w:r>
        <w:rPr>
          <w:color w:val="000000"/>
          <w:highlight w:val="none"/>
        </w:rPr>
      </w:r>
      <w:r/>
    </w:p>
    <w:p>
      <w:pPr>
        <w:pStyle w:val="873"/>
        <w:ind w:firstLine="640"/>
        <w:rPr>
          <w:color w:val="000000"/>
          <w:highlight w:val="none"/>
        </w:rPr>
      </w:pPr>
      <w:r>
        <w:rPr>
          <w:rFonts w:hint="eastAsia"/>
          <w:color w:val="000000"/>
          <w:highlight w:val="none"/>
        </w:rPr>
        <w:t xml:space="preserve">5.数据赋码</w:t>
      </w:r>
      <w:r>
        <w:rPr>
          <w:color w:val="000000"/>
          <w:highlight w:val="none"/>
        </w:rPr>
      </w:r>
      <w:r/>
    </w:p>
    <w:p>
      <w:pPr>
        <w:pStyle w:val="873"/>
        <w:ind w:firstLine="640"/>
        <w:rPr>
          <w:color w:val="000000"/>
          <w:highlight w:val="none"/>
        </w:rPr>
      </w:pPr>
      <w:r>
        <w:rPr>
          <w:rFonts w:hint="eastAsia"/>
          <w:color w:val="000000"/>
          <w:highlight w:val="none"/>
        </w:rPr>
        <w:t xml:space="preserve">（1）统一行政村赋码</w:t>
      </w:r>
      <w:r>
        <w:rPr>
          <w:color w:val="000000"/>
          <w:highlight w:val="none"/>
        </w:rPr>
      </w:r>
      <w:r/>
    </w:p>
    <w:p>
      <w:pPr>
        <w:pStyle w:val="873"/>
        <w:ind w:firstLine="640"/>
        <w:rPr>
          <w:color w:val="000000"/>
          <w:highlight w:val="none"/>
        </w:rPr>
      </w:pPr>
      <w:r>
        <w:rPr>
          <w:rFonts w:hint="eastAsia"/>
          <w:color w:val="000000"/>
          <w:highlight w:val="none"/>
        </w:rPr>
        <w:t xml:space="preserve">按照“空间不变，码不变”原则，采用赋码工具为全市各行政村生成唯一二维码，用于日常管理行政村范围内耕地的数量、面积等汇总信息；扫码可定位村庄位置，查看每块耕地的基本信息，完成所有行政村二维码的生成与管理。</w:t>
      </w:r>
      <w:r>
        <w:rPr>
          <w:color w:val="000000"/>
          <w:highlight w:val="none"/>
        </w:rPr>
      </w:r>
      <w:r/>
    </w:p>
    <w:p>
      <w:pPr>
        <w:pStyle w:val="873"/>
        <w:ind w:firstLine="640"/>
        <w:rPr>
          <w:color w:val="000000"/>
          <w:highlight w:val="none"/>
        </w:rPr>
      </w:pPr>
      <w:r>
        <w:rPr>
          <w:rFonts w:hint="eastAsia"/>
          <w:color w:val="000000"/>
          <w:highlight w:val="none"/>
        </w:rPr>
        <w:t xml:space="preserve">（2）耕地地块赋码</w:t>
      </w:r>
      <w:r>
        <w:rPr>
          <w:color w:val="000000"/>
          <w:highlight w:val="none"/>
        </w:rPr>
      </w:r>
      <w:r/>
    </w:p>
    <w:p>
      <w:pPr>
        <w:pStyle w:val="873"/>
        <w:ind w:firstLine="640"/>
        <w:rPr>
          <w:color w:val="000000"/>
          <w:highlight w:val="none"/>
        </w:rPr>
      </w:pPr>
      <w:r>
        <w:rPr>
          <w:rFonts w:hint="eastAsia"/>
          <w:color w:val="000000"/>
          <w:highlight w:val="none"/>
        </w:rPr>
        <w:t xml:space="preserve">以村级行政区为单元，采用赋码工具和结构化数据转换、图形生成技术，对每块耕地统一赋码；扫码可定位地块位置，查看分布形状、属性信息及问题反馈，实现耕地空间对象的分类标识。</w:t>
      </w:r>
      <w:r>
        <w:rPr>
          <w:color w:val="000000"/>
          <w:highlight w:val="none"/>
        </w:rPr>
      </w:r>
      <w:r/>
    </w:p>
    <w:p>
      <w:pPr>
        <w:pStyle w:val="873"/>
        <w:ind w:firstLine="640"/>
        <w:rPr>
          <w:color w:val="000000"/>
          <w:highlight w:val="none"/>
        </w:rPr>
      </w:pPr>
      <w:r>
        <w:rPr>
          <w:rFonts w:hint="eastAsia"/>
          <w:color w:val="000000"/>
          <w:highlight w:val="none"/>
        </w:rPr>
        <w:t xml:space="preserve">（3）林地湿地地块赋码</w:t>
      </w:r>
      <w:r>
        <w:rPr>
          <w:color w:val="000000"/>
          <w:highlight w:val="none"/>
        </w:rPr>
      </w:r>
      <w:r/>
    </w:p>
    <w:p>
      <w:pPr>
        <w:pStyle w:val="873"/>
        <w:ind w:firstLine="640"/>
        <w:rPr>
          <w:color w:val="000000"/>
          <w:highlight w:val="none"/>
        </w:rPr>
      </w:pPr>
      <w:r>
        <w:rPr>
          <w:rFonts w:hint="eastAsia"/>
          <w:color w:val="000000"/>
          <w:highlight w:val="none"/>
        </w:rPr>
        <w:t xml:space="preserve">针对国家带位置下达的林地湿地图斑生成各地块唯一二维码，覆盖全市所有林地、草地、湿地地块；扫码可定位地块位置，查看林地湿地信息，实现对林地湿地的精准标识与管理。</w:t>
      </w:r>
      <w:r>
        <w:rPr>
          <w:color w:val="000000"/>
          <w:highlight w:val="none"/>
        </w:rPr>
      </w:r>
      <w:r/>
    </w:p>
    <w:p>
      <w:pPr>
        <w:pStyle w:val="873"/>
        <w:ind w:firstLine="640"/>
        <w:rPr>
          <w:color w:val="000000"/>
          <w:highlight w:val="none"/>
        </w:rPr>
      </w:pPr>
      <w:r>
        <w:rPr>
          <w:rFonts w:hint="eastAsia"/>
          <w:color w:val="000000"/>
          <w:highlight w:val="none"/>
        </w:rPr>
        <w:t xml:space="preserve">（4）耕地地块码颜色处理</w:t>
      </w:r>
      <w:r>
        <w:rPr>
          <w:color w:val="000000"/>
          <w:highlight w:val="none"/>
        </w:rPr>
      </w:r>
      <w:r/>
    </w:p>
    <w:p>
      <w:pPr>
        <w:pStyle w:val="873"/>
        <w:ind w:firstLine="640"/>
        <w:rPr>
          <w:color w:val="000000"/>
          <w:highlight w:val="none"/>
        </w:rPr>
      </w:pPr>
      <w:r>
        <w:rPr>
          <w:rFonts w:hint="eastAsia"/>
          <w:color w:val="000000"/>
          <w:highlight w:val="none"/>
        </w:rPr>
        <w:t xml:space="preserve">对全市所有耕地及非耕地地块进行图形校核，标记非耕地情况，根据地块与非耕地的包含关系，将耕地码按不同颜色赋码。</w:t>
      </w:r>
      <w:r>
        <w:rPr>
          <w:color w:val="000000"/>
          <w:highlight w:val="none"/>
        </w:rPr>
      </w:r>
      <w:r/>
    </w:p>
    <w:p>
      <w:pPr>
        <w:pStyle w:val="873"/>
        <w:ind w:firstLine="640"/>
        <w:rPr>
          <w:color w:val="000000"/>
          <w:highlight w:val="none"/>
        </w:rPr>
      </w:pPr>
      <w:r>
        <w:rPr>
          <w:rFonts w:hint="eastAsia"/>
          <w:color w:val="000000"/>
          <w:highlight w:val="none"/>
        </w:rPr>
        <w:t xml:space="preserve">（5）行政村地块列表关联</w:t>
      </w:r>
      <w:r>
        <w:rPr>
          <w:color w:val="000000"/>
          <w:highlight w:val="none"/>
        </w:rPr>
      </w:r>
      <w:r/>
    </w:p>
    <w:p>
      <w:pPr>
        <w:pStyle w:val="873"/>
        <w:ind w:firstLine="640"/>
        <w:rPr>
          <w:color w:val="000000"/>
          <w:highlight w:val="none"/>
        </w:rPr>
      </w:pPr>
      <w:r>
        <w:rPr>
          <w:rFonts w:hint="eastAsia"/>
          <w:color w:val="000000"/>
          <w:highlight w:val="none"/>
        </w:rPr>
        <w:t xml:space="preserve">面向全市的涉农街道，构建以村级为单元的行政村地块关联列表，处理多批次专项调查数据；每批次数据需独立完成空间基准校准、属性逻辑校验及敏感信息脱敏，形成覆盖全域的关联清单。</w:t>
      </w:r>
      <w:r>
        <w:rPr>
          <w:color w:val="000000"/>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73"/>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采购包1 数据建库</w:t>
      </w:r>
      <w:r>
        <w:rPr>
          <w:rFonts w:ascii="黑体" w:hAnsi="黑体" w:eastAsia="黑体" w:cs="黑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实施要求</w:t>
      </w:r>
      <w:r>
        <w:rPr>
          <w:rFonts w:hint="eastAsia" w:ascii="宋体" w:hAnsi="宋体" w:cs="宋体"/>
          <w:bCs/>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1）安全要求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本项目所采购的产品中需要接入和运行的数据涉及国家秘密，按照保密法及相关法规要求，单独保存于涉密环境内，按需要单点接入部省或市电子政务内网，与互联网、电子政务外网、业务网物理隔离。</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在数据库和软件产品的采购上，应考虑信创替代要求，避免后期重复建设。</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供应商应具备健全的网络和数据安全保护机制，团队人员为正式员工，并有专门的网络安全负责人。</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）数据要求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中标供应商提供的成熟产品应具备数据及成果数据的存储、管理等功能，要有一定的数据加密措施、方案及设备，对数据库的操作有监控手段。</w:t>
      </w:r>
      <w:r>
        <w:rPr>
          <w:rFonts w:ascii="宋体" w:hAnsi="宋体" w:cs="宋体"/>
          <w:bCs/>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）项目实施要求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项目实施团队于中标后立即进场推进耕地资源精细化管理数据建库，按项目建设内容开展数据整合建库、地块赋码、信息融合及功能优化等工作。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）售后服务要求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w:t>
      </w:r>
      <w:r>
        <w:rPr>
          <w:rFonts w:hint="eastAsia" w:ascii="宋体" w:hAnsi="宋体" w:cs="宋体"/>
          <w:bCs/>
          <w:color w:val="000000"/>
          <w:sz w:val="24"/>
          <w:szCs w:val="24"/>
          <w:highlight w:val="none"/>
        </w:rPr>
        <w:t xml:space="preserve">本项目涉及的耕地资源精细化管理数据建库相关数据成果，在按要求提交并完成交付后即结束相关服务。</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维护期内，对采购人提出的合理服务要求，供应商必须即时进行电话、邮件及远程网络支持，并在2小时内到场服务。如不到场，采购人有权自行处理，相关费用由供应商负责。</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③</w:t>
      </w:r>
      <w:r>
        <w:rPr>
          <w:rFonts w:hint="eastAsia" w:ascii="宋体" w:hAnsi="宋体" w:cs="宋体"/>
          <w:bCs/>
          <w:color w:val="000000"/>
          <w:sz w:val="24"/>
          <w:szCs w:val="24"/>
          <w:highlight w:val="none"/>
        </w:rPr>
        <w:t xml:space="preserve">所有的服务方式均为供应商上门保修，即由供应商派员到系统使用现场进行故障恢复，由此产生的一切费用均由供应商承担。</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3）安全保密要求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w:t>
      </w:r>
      <w:r>
        <w:rPr>
          <w:rFonts w:hint="eastAsia" w:ascii="宋体" w:hAnsi="宋体" w:cs="宋体"/>
          <w:bCs/>
          <w:color w:val="000000"/>
          <w:sz w:val="24"/>
          <w:szCs w:val="24"/>
          <w:highlight w:val="none"/>
        </w:rPr>
        <w:t xml:space="preserve">供应商对本项目所有数据负有保密义务，不得侵害、外泄或以任何直接或间接的方法使任何第三人知悉或使用。</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供应商保证信息介质的使用安全，做好介质的管理工作，不能随意摆放。</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③</w:t>
      </w:r>
      <w:r>
        <w:rPr>
          <w:rFonts w:hint="eastAsia" w:ascii="宋体" w:hAnsi="宋体" w:cs="宋体"/>
          <w:bCs/>
          <w:color w:val="000000"/>
          <w:sz w:val="24"/>
          <w:szCs w:val="24"/>
          <w:highlight w:val="none"/>
        </w:rPr>
        <w:t xml:space="preserve">供应商保证参与采购人工作过程中严格遵守关于网络安全的相关规定。所使用的电脑软、硬件设施都满足采购人的安全要求。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④</w:t>
      </w:r>
      <w:r>
        <w:rPr>
          <w:rFonts w:hint="eastAsia" w:ascii="宋体" w:hAnsi="宋体" w:cs="宋体"/>
          <w:bCs/>
          <w:color w:val="000000"/>
          <w:sz w:val="24"/>
          <w:szCs w:val="24"/>
          <w:highlight w:val="none"/>
        </w:rPr>
        <w:t xml:space="preserve">中标供应商在此项目中必须按相关规定签署数据保密协议，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（3）验收要求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数据产品完成建设后，采购人将组织履约验收，以采购人的验收报告为最终验收结果。验收时发现未完成的数据内容，采购人有权要求供应商立即进行补充。</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（4）知识产权及保密要求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本项目数据成果归采购人（委托方）所有，采购人享有永久、无偿、不可撤销的完整使用权。</w:t>
      </w:r>
      <w:r>
        <w:rPr>
          <w:rFonts w:hint="eastAsia"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2）保密要求：</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供应商对本项目所有</w:t>
      </w:r>
      <w:r>
        <w:rPr>
          <w:rFonts w:ascii="宋体" w:hAnsi="宋体" w:cs="宋体"/>
          <w:color w:val="000000"/>
          <w:sz w:val="24"/>
          <w:szCs w:val="24"/>
          <w:highlight w:val="none"/>
        </w:rPr>
        <w:t xml:space="preserve">数据</w:t>
      </w:r>
      <w:r>
        <w:rPr>
          <w:rFonts w:hint="eastAsia" w:ascii="宋体" w:hAnsi="宋体" w:cs="宋体"/>
          <w:color w:val="000000"/>
          <w:sz w:val="24"/>
          <w:szCs w:val="24"/>
          <w:highlight w:val="none"/>
        </w:rPr>
        <w:t xml:space="preserve">负有保密义务，不得侵害、外泄或以任何直接或间接的方法使任何第三人知悉或使用。</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供应商保证信息介质的使用安全，做好介质的管理工作，不能随意摆放。</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③</w:t>
      </w:r>
      <w:r>
        <w:rPr>
          <w:rFonts w:hint="eastAsia" w:ascii="宋体" w:hAnsi="宋体" w:cs="宋体"/>
          <w:color w:val="000000"/>
          <w:sz w:val="24"/>
          <w:szCs w:val="24"/>
          <w:highlight w:val="none"/>
        </w:rPr>
        <w:t xml:space="preserve">供应商保证参与采购人工作过程中严格遵守关于网络安全的相关规定。所使用的电脑软、硬件设施都满足采购人的安全要求。</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④</w:t>
      </w:r>
      <w:r>
        <w:rPr>
          <w:rFonts w:hint="eastAsia" w:ascii="宋体" w:hAnsi="宋体" w:cs="宋体"/>
          <w:color w:val="000000"/>
          <w:sz w:val="24"/>
          <w:szCs w:val="24"/>
          <w:highlight w:val="none"/>
        </w:rPr>
        <w:t xml:space="preserve">中标供应商在此项目中必须按相关规定签署数据保密协议，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r>
        <w:rPr>
          <w:rFonts w:ascii="宋体" w:hAnsi="宋体" w:cs="宋体"/>
          <w:color w:val="000000"/>
          <w:sz w:val="24"/>
          <w:szCs w:val="24"/>
          <w:highlight w:val="none"/>
        </w:rPr>
        <w:tab/>
      </w:r>
      <w:r>
        <w:rPr>
          <w:rFonts w:ascii="宋体" w:hAnsi="宋体" w:cs="宋体"/>
          <w:color w:val="000000"/>
          <w:sz w:val="24"/>
          <w:szCs w:val="24"/>
          <w:highlight w:val="none"/>
        </w:rPr>
        <w:tab/>
      </w:r>
      <w:r>
        <w:rPr>
          <w:rFonts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（5）建设成果要求</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本项目采购的数据产品、相关数据库成果。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1）数据成果：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w:t>
      </w:r>
      <w:r>
        <w:rPr>
          <w:rFonts w:hint="eastAsia" w:ascii="宋体" w:hAnsi="宋体" w:cs="宋体"/>
          <w:bCs/>
          <w:color w:val="000000"/>
          <w:sz w:val="24"/>
          <w:szCs w:val="24"/>
          <w:highlight w:val="none"/>
        </w:rPr>
        <w:t xml:space="preserve">“智慧耕保”专题数据库：包含规划资源部门的耕地、非耕地数据及补充调查统计表，林业部门的林草湿普查数据，农业农村部门的高标准农田、标准化菜地摸底数据等；</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地块赋码数据：含全市行政村二维码及关联的耕地数量、面积等汇总信息，耕地地块二维码及关联的空间位置、分布形状、属性信息、问题反馈等数据，林地湿地地块二维码及关联的位置、属性等信息等；</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文档成果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本项目中涉及的所有技术方案、标准、总结等文档成果。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）人员要求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①项目经理：1人，具有至少10年以上信息化项目管理工作经验，项目开发期间须驻场服务，不得兼任其他岗位。 </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②技术负责人1人，具有至少10年以上信息化项目技术管理工作经验，项目开发期间须驻场服务，不得兼任其他岗位。  </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③开发实施人员：不少于6人，具有信息化工作经验，项目开发期间须6人驻场服务。 </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④运维服务人员：不少于2人，须驻场服务，具有信息化工作经验。 </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⑤项目组所有人员必须为供应商正式工作人员，不得兼任其他项目工作，未经采购人同意，人员不得更换。 </w:t>
      </w:r>
      <w:r>
        <w:rPr>
          <w:rFonts w:hint="eastAsia" w:ascii="宋体" w:hAnsi="宋体" w:cs="宋体"/>
          <w:bCs/>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付款条件</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（1）交付时间：合同签订后30天内</w:t>
      </w:r>
      <w:r>
        <w:rPr>
          <w:rFonts w:hint="eastAsia" w:ascii="宋体" w:hAnsi="宋体" w:cs="宋体"/>
          <w:color w:val="000000"/>
          <w:sz w:val="24"/>
          <w:szCs w:val="24"/>
          <w:highlight w:val="none"/>
        </w:rPr>
        <w:t xml:space="preserve">完成数据建库</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6.其他要求</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73"/>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采购包2 高清影像自动检测功能完善与无人机辅助识别模块产品及数据赋码</w:t>
      </w:r>
      <w:r>
        <w:rPr>
          <w:rFonts w:ascii="黑体" w:hAnsi="黑体" w:eastAsia="黑体" w:cs="黑体"/>
          <w:color w:val="000000"/>
          <w:sz w:val="24"/>
          <w:szCs w:val="24"/>
          <w:highlight w:val="none"/>
        </w:rPr>
      </w:r>
      <w:r/>
    </w:p>
    <w:p>
      <w:pPr>
        <w:pStyle w:val="873"/>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实施要求</w:t>
      </w:r>
      <w:r>
        <w:rPr>
          <w:rFonts w:hint="eastAsia" w:ascii="宋体" w:hAnsi="宋体" w:cs="宋体"/>
          <w:bCs/>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1）性能要求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采购的系统投入使用后，需满足以下实际应用性能效果：支持200人同时并发，登录时间小于2秒；对于一般的系统提交操作及简单的查询操作，平均响应时间小于1秒；对于较复杂的组合查询，平均响应时间小于3秒；服务代理转发性能损失不超过5%。</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2）安全要求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本项目所采购的产品中需要接入和运行的数据涉及国家秘密，按照保密法及相关法规要求，单独保存于涉密环境内，按需要单点接入部省或市电子政务内网，与互联网、电子政务外网、业务网物理隔离。</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在数据库和软件产品的采购上，应考虑信创替代要求，避免后期重复建设。</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中标供应商提供的成熟产品应符合《商用密码应用解决方案》并通过方案评估，同步编制《商用密码应用实施方案》，依据GB/T39786-2021《信息安全技术信息系统密码应用基本要求》对应三级系统要求进行建设或整改，最终通过商用密码应用与安全性评估。</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供应商应具备健全的网络和数据安全保护机制，团队人员为正式员工，并有专门的网络安全负责人。</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3）数据要求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中标供应商提供的成熟产品应具备数据及成果数据的存储、管理等功能，要有一定的数据加密措施、方案及设备，对数据库的操作有监控手段。要建立系统源码、数据库、图片、音频、视频等多类型数据的容灾备份机制，保证系统长期稳定运行。</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4）接口要求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中标供应商提供的系统接口需遵循标准化、轻量化、高效化原则，能满足异构系统之间无缝衔接要求，并支持对本项目所有开放给第三方的接口进行统一管理，有详细的开发指南对接口进行说明。</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5）第三方测试要求</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项目完成后，供应商应通过由采购人委托的第三方法定测试机构的检测，测试范围包括所采购产品的性能测试、功能测试及安全测试。</w:t>
      </w:r>
      <w:r>
        <w:rPr>
          <w:rFonts w:ascii="宋体" w:hAnsi="宋体" w:cs="宋体"/>
          <w:bCs/>
          <w:color w:val="000000"/>
          <w:sz w:val="24"/>
          <w:szCs w:val="24"/>
          <w:highlight w:val="none"/>
        </w:rPr>
      </w:r>
      <w:r/>
    </w:p>
    <w:p>
      <w:pPr>
        <w:pStyle w:val="873"/>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供应商要配合采购人开展第三方测试后相关问题整改工作，要求确保系统、数据信息安全。</w:t>
      </w:r>
      <w:r>
        <w:rPr>
          <w:rFonts w:ascii="宋体" w:hAnsi="宋体" w:cs="宋体"/>
          <w:bCs/>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）项目实施要求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实施团队于中标后立即进场并部署无人机辅助识别模块产品，完成该模块的软件产品部署、系统集成与参数配置等工作并确保部署完成；同步推进耕地资源精细化管理数据建库及高清影像自动检测功能完善的实施，按项目建设内容开展数据整合建库、地块赋码、信息融合及功能优化等工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）售后服务要求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w:t>
      </w:r>
      <w:r>
        <w:rPr>
          <w:rFonts w:hint="eastAsia" w:ascii="宋体" w:hAnsi="宋体" w:cs="宋体"/>
          <w:bCs/>
          <w:color w:val="000000"/>
          <w:sz w:val="24"/>
          <w:szCs w:val="24"/>
          <w:highlight w:val="none"/>
        </w:rPr>
        <w:t xml:space="preserve">应商报价时须承诺：本项目涉及的耕地资源精细化管理数据建库相关数据成果，在按要求提交并完成交付后即结束相关服务；本项目采购的系统产品（含无人机辅助识别模块产品和高清影像自动检测功能完善模块）的免费维护期为2年（含）以上（自验收报告签字确认日起，开始进入免费维护期）。</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维护期内，本合同项目所有技术和服务发生任何非人为故障，由供应商负责系统恢复。故障报修的响应时间为即时，到达现场的时间为2小时，小型故障恢复时间为4个小时，严重故障恢复时间为24小时内，并及时有效地提供解决方案。</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③</w:t>
      </w:r>
      <w:r>
        <w:rPr>
          <w:rFonts w:hint="eastAsia" w:ascii="宋体" w:hAnsi="宋体" w:cs="宋体"/>
          <w:bCs/>
          <w:color w:val="000000"/>
          <w:sz w:val="24"/>
          <w:szCs w:val="24"/>
          <w:highlight w:val="none"/>
        </w:rPr>
        <w:t xml:space="preserve">维护期内，对采购人提出的合理服务要求，供应商必须即时进行电话、邮件及远程网络支持，并在2小时内到场服务。如不到场，采购人有权自行处理，相关费用由供应商负责。</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④</w:t>
      </w:r>
      <w:r>
        <w:rPr>
          <w:rFonts w:hint="eastAsia" w:ascii="宋体" w:hAnsi="宋体" w:cs="宋体"/>
          <w:bCs/>
          <w:color w:val="000000"/>
          <w:sz w:val="24"/>
          <w:szCs w:val="24"/>
          <w:highlight w:val="none"/>
        </w:rPr>
        <w:t xml:space="preserve">所有的服务方式均为供应商上门保修，即由供应商派员到系统使用现场进行故障恢复，由此产生的一切费用均由供应商承担。</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）培训服务要求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w:t>
      </w:r>
      <w:r>
        <w:rPr>
          <w:rFonts w:hint="eastAsia" w:ascii="宋体" w:hAnsi="宋体" w:cs="宋体"/>
          <w:bCs/>
          <w:color w:val="000000"/>
          <w:sz w:val="24"/>
          <w:szCs w:val="24"/>
          <w:highlight w:val="none"/>
        </w:rPr>
        <w:t xml:space="preserve">供应商提供必要的系统管理维护的技术培训，包括有关系统软硬件的操作培训课程，培训时间由采购人根据工作进程安排，培训场地、环境等由采购人提供。</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提供必要的客户端操作使用培训，场地由采购人提供，采用集中和非集中相结合的两种培训方式。非集中方式包括：视频教学和提供电子操作说明文档。</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4</w:t>
      </w:r>
      <w:r>
        <w:rPr>
          <w:rFonts w:hint="eastAsia" w:ascii="宋体" w:hAnsi="宋体" w:cs="宋体"/>
          <w:bCs/>
          <w:color w:val="000000"/>
          <w:sz w:val="24"/>
          <w:szCs w:val="24"/>
          <w:highlight w:val="none"/>
        </w:rPr>
        <w:t xml:space="preserve">）安全保密要求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w:t>
      </w:r>
      <w:r>
        <w:rPr>
          <w:rFonts w:hint="eastAsia" w:ascii="宋体" w:hAnsi="宋体" w:cs="宋体"/>
          <w:bCs/>
          <w:color w:val="000000"/>
          <w:sz w:val="24"/>
          <w:szCs w:val="24"/>
          <w:highlight w:val="none"/>
        </w:rPr>
        <w:t xml:space="preserve">供应商对本项目所有数据负有保密义务，不得侵害、外泄或以任何直接或间接的方法使任何第三人知悉或使用。</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供应商保证信息介质的使用安全，做好介质的管理工作，不能随意摆放。</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③</w:t>
      </w:r>
      <w:r>
        <w:rPr>
          <w:rFonts w:hint="eastAsia" w:ascii="宋体" w:hAnsi="宋体" w:cs="宋体"/>
          <w:bCs/>
          <w:color w:val="000000"/>
          <w:sz w:val="24"/>
          <w:szCs w:val="24"/>
          <w:highlight w:val="none"/>
        </w:rPr>
        <w:t xml:space="preserve">供应商保证参与采购人工作过程中严格遵守关于网络安全的相关规定。所使用的电脑软、硬件设施都满足采购人的安全要求。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④</w:t>
      </w:r>
      <w:r>
        <w:rPr>
          <w:rFonts w:hint="eastAsia" w:ascii="宋体" w:hAnsi="宋体" w:cs="宋体"/>
          <w:bCs/>
          <w:color w:val="000000"/>
          <w:sz w:val="24"/>
          <w:szCs w:val="24"/>
          <w:highlight w:val="none"/>
        </w:rPr>
        <w:t xml:space="preserve">中标供应商在此项目中必须按相关规定签署数据保密协议，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5</w:t>
      </w:r>
      <w:r>
        <w:rPr>
          <w:rFonts w:hint="eastAsia" w:ascii="宋体" w:hAnsi="宋体" w:cs="宋体"/>
          <w:bCs/>
          <w:color w:val="000000"/>
          <w:sz w:val="24"/>
          <w:szCs w:val="24"/>
          <w:highlight w:val="none"/>
        </w:rPr>
        <w:t xml:space="preserve">）产权归属条款</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本项目软件开发成果的著作权、专利权等知识产权归采购人（委托方）和开发方（中标方）共同所有，采购人享有永久、无偿、不可撤销的完整使用权。</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（3）验收要求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①软件完成部署和调试后，采购人将组织履约验收，以采购人的验收报告为最终验收结果。验收时发现未完成安装部署的、未进行调试的，采购人有权要求供应商立即进行补充。</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②软件安装、调试达到技术规范书规定的指标后，可进行验收测试。验收规范 (包括计划、项目、指标、方式和测试仪器等)应由供应商在验收前一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（4）维保要求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确保本次采购所有项目的安全稳定地运行，并承诺提供：本项目采购的系统产品（含无人机辅助识别模块产品和高清影像自动检测功能完善模块）不低于2年免费质保服务（自验收报告签字确认日起，开始进入免费质保期）。</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（5）人员要求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①项目经理：1人，具有至少10年以上信息化项目管理工作经验，项目开发期间须驻场服务，不得兼任其他岗位。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②技术负责人1人，具有至少10年以上信息化项目技术管理工作经验，项目开发期间须驻场服务，不得兼任其他岗位。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③开发实施人员：不少于6人，具有信息化工作经验，项目开发期间须6人驻场服务。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④运维服务人员：不少于2人，须驻场服务，具有信息化工作经验。 </w:t>
      </w:r>
      <w:r>
        <w:rPr>
          <w:rFonts w:hint="eastAsia" w:ascii="宋体" w:hAnsi="宋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⑤项目组所有人员必须为供应商正式工作人员，不得兼任其他项目工作，未经采购人同意，人员不得更换。 </w:t>
      </w:r>
      <w:r>
        <w:rPr>
          <w:rFonts w:hint="eastAsia" w:ascii="宋体" w:hAnsi="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（6）知识产权及保密要求</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本项目软件开发成果的著作权、专利权等知识产权归采购人（委托方）和开发方（中标方）共同所有，采购人享有永久、无偿、不可撤销的完整使用权。中标供应商就本项目涉及到的软件产品安装包+永久使用授权书，向采购人提供全部软件产品的产品授权、安装介质、安装程序和相关技术说明文档。</w:t>
      </w:r>
      <w:r>
        <w:rPr>
          <w:rFonts w:hint="eastAsia"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2）保密要求：</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供应商对本项目所有</w:t>
      </w:r>
      <w:r>
        <w:rPr>
          <w:rFonts w:ascii="宋体" w:hAnsi="宋体" w:cs="宋体"/>
          <w:color w:val="000000"/>
          <w:sz w:val="24"/>
          <w:szCs w:val="24"/>
          <w:highlight w:val="none"/>
        </w:rPr>
        <w:t xml:space="preserve">数据</w:t>
      </w:r>
      <w:r>
        <w:rPr>
          <w:rFonts w:hint="eastAsia" w:ascii="宋体" w:hAnsi="宋体" w:cs="宋体"/>
          <w:color w:val="000000"/>
          <w:sz w:val="24"/>
          <w:szCs w:val="24"/>
          <w:highlight w:val="none"/>
        </w:rPr>
        <w:t xml:space="preserve">负有保密义务，不得侵害、外泄或以任何直接或间接的方法使任何第三人知悉或使用。</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供应商保证信息介质的使用安全，做好介质的管理工作，不能随意摆放。</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③</w:t>
      </w:r>
      <w:r>
        <w:rPr>
          <w:rFonts w:hint="eastAsia" w:ascii="宋体" w:hAnsi="宋体" w:cs="宋体"/>
          <w:color w:val="000000"/>
          <w:sz w:val="24"/>
          <w:szCs w:val="24"/>
          <w:highlight w:val="none"/>
        </w:rPr>
        <w:t xml:space="preserve">供应商保证参与采购人工作过程中严格遵守关于网络安全的相关规定。所使用的电脑软、硬件设施都满足采购人的安全要求。</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④</w:t>
      </w:r>
      <w:r>
        <w:rPr>
          <w:rFonts w:hint="eastAsia" w:ascii="宋体" w:hAnsi="宋体" w:cs="宋体"/>
          <w:color w:val="000000"/>
          <w:sz w:val="24"/>
          <w:szCs w:val="24"/>
          <w:highlight w:val="none"/>
        </w:rPr>
        <w:t xml:space="preserve">中标供应商在此项目中必须按相关规定签署数据保密协议，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r>
        <w:rPr>
          <w:rFonts w:ascii="宋体" w:hAnsi="宋体" w:cs="宋体"/>
          <w:color w:val="000000"/>
          <w:sz w:val="24"/>
          <w:szCs w:val="24"/>
          <w:highlight w:val="none"/>
        </w:rPr>
        <w:tab/>
      </w:r>
      <w:r>
        <w:rPr>
          <w:rFonts w:ascii="宋体" w:hAnsi="宋体" w:cs="宋体"/>
          <w:color w:val="000000"/>
          <w:sz w:val="24"/>
          <w:szCs w:val="24"/>
          <w:highlight w:val="none"/>
        </w:rPr>
        <w:tab/>
      </w:r>
      <w:r>
        <w:rPr>
          <w:rFonts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（7）建设成果要求</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本项目采购的软件产品部署、系统集成与参数配置服务、相关数据库成果以及各系统的源代码。</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1）系统成果：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①</w:t>
      </w:r>
      <w:r>
        <w:rPr>
          <w:rFonts w:hint="eastAsia" w:ascii="宋体" w:hAnsi="宋体" w:cs="宋体"/>
          <w:bCs/>
          <w:color w:val="000000"/>
          <w:sz w:val="24"/>
          <w:szCs w:val="24"/>
          <w:highlight w:val="none"/>
        </w:rPr>
        <w:t xml:space="preserve">无人机辅助识别模块产品：包括采集任务、飞行数据处理、数据分析、数据权限划分等模块；</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高清影像自动检测功能：含地类提取与变化分析功能、语义标签拼接与空间配准、多坐标系参考赋值与矢量转换、数据及成果注册与统计分析等。</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2）代码成果：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各系统及模块的源代码。</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文档成果</w:t>
      </w:r>
      <w:r>
        <w:rPr>
          <w:rFonts w:hint="eastAsia" w:ascii="宋体" w:hAnsi="宋体" w:cs="宋体"/>
          <w:bCs/>
          <w:color w:val="000000"/>
          <w:sz w:val="24"/>
          <w:szCs w:val="24"/>
          <w:highlight w:val="none"/>
        </w:rPr>
      </w:r>
      <w:r/>
    </w:p>
    <w:p>
      <w:pPr>
        <w:pStyle w:val="87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中涉及的所有技术方案、标准、总结等文档成果（包含但不限于项目需求分析说明书、总体设计方案、详细设计方案、数据库设计方案、第三方产品兼容性测试报告、用户手册、项目总结报告、运维手册等）。</w:t>
      </w:r>
      <w:r>
        <w:rPr>
          <w:rFonts w:hint="eastAsia" w:ascii="宋体" w:hAnsi="宋体" w:cs="宋体"/>
          <w:bCs/>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付款条件</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（1）交付时间：合同签订后30天内</w:t>
      </w:r>
      <w:r>
        <w:rPr>
          <w:rFonts w:hint="eastAsia" w:ascii="宋体" w:hAnsi="宋体" w:cs="宋体"/>
          <w:color w:val="000000"/>
          <w:sz w:val="24"/>
          <w:szCs w:val="24"/>
          <w:highlight w:val="none"/>
        </w:rPr>
        <w:t xml:space="preserve">完成系统开发</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73"/>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6.其他要求</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73"/>
        <w:rPr>
          <w:rFonts w:hint="eastAsia"/>
          <w:color w:val="000000"/>
          <w:highlight w:val="none"/>
        </w:rPr>
      </w:pPr>
      <w:r>
        <w:rPr>
          <w:rFonts w:hint="eastAsia"/>
          <w:color w:val="000000"/>
          <w:highlight w:val="none"/>
        </w:rPr>
      </w:r>
      <w:r/>
    </w:p>
    <w:p>
      <w:pPr>
        <w:pStyle w:val="951"/>
        <w:rPr>
          <w:rFonts w:hint="eastAsia"/>
          <w:color w:val="000000"/>
          <w:highlight w:val="none"/>
          <w:lang w:val="en-US"/>
        </w:rPr>
      </w:pPr>
      <w:r>
        <w:rPr>
          <w:rFonts w:hint="eastAsia"/>
          <w:color w:val="000000"/>
          <w:highlight w:val="none"/>
          <w:lang w:val="en-US"/>
        </w:rPr>
      </w:r>
      <w:r/>
    </w:p>
    <w:p>
      <w:pPr>
        <w:pStyle w:val="94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评审方法与评审标准</w:t>
      </w:r>
      <w:r>
        <w:rPr>
          <w:rFonts w:hint="eastAsia" w:ascii="方正小标宋简体" w:hAnsi="方正小标宋简体" w:eastAsia="方正小标宋简体" w:cs="方正小标宋简体"/>
          <w:color w:val="000000"/>
          <w:sz w:val="36"/>
          <w:szCs w:val="36"/>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一、评审方法</w:t>
      </w:r>
      <w:r>
        <w:rPr>
          <w:rFonts w:hint="eastAsia" w:ascii="黑体" w:hAnsi="黑体" w:eastAsia="黑体" w:cs="黑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每个采购包磋商小组按照评审总分由高到低顺序推荐</w:t>
      </w:r>
      <w:r>
        <w:rPr>
          <w:rFonts w:hint="eastAsia" w:ascii="宋体" w:hAnsi="宋体"/>
          <w:color w:val="000000"/>
          <w:sz w:val="24"/>
          <w:szCs w:val="24"/>
          <w:highlight w:val="none"/>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成交候选供应商，并编写评审报告。评审得分相同的，按照最后报价由低到高的顺序推荐。评审得分且最后报价相同的，按照“三、评审标准中</w:t>
      </w:r>
      <w:r>
        <w:rPr>
          <w:rFonts w:hint="eastAsia" w:ascii="宋体" w:hAnsi="宋体" w:cs="宋体"/>
          <w:color w:val="000000"/>
          <w:sz w:val="24"/>
          <w:szCs w:val="24"/>
          <w:highlight w:val="none"/>
        </w:rPr>
        <w:t xml:space="preserve">3.服务</w:t>
      </w:r>
      <w:r>
        <w:rPr>
          <w:rFonts w:hint="eastAsia" w:ascii="宋体" w:hAnsi="宋体" w:cs="宋体"/>
          <w:color w:val="000000"/>
          <w:sz w:val="24"/>
          <w:szCs w:val="24"/>
          <w:highlight w:val="none"/>
        </w:rPr>
        <w:t xml:space="preserve">项”得分由高到低顺序推荐。</w:t>
      </w:r>
      <w:r>
        <w:rPr>
          <w:rFonts w:hint="eastAsia" w:ascii="宋体" w:hAnsi="宋体" w:cs="宋体"/>
          <w:color w:val="000000"/>
          <w:sz w:val="24"/>
          <w:szCs w:val="24"/>
          <w:highlight w:val="none"/>
        </w:rPr>
      </w:r>
      <w:r/>
    </w:p>
    <w:p>
      <w:pPr>
        <w:pStyle w:val="873"/>
        <w:ind w:firstLine="480"/>
        <w:spacing w:line="264" w:lineRule="auto"/>
        <w:rPr>
          <w:rFonts w:hint="eastAsia" w:ascii="宋体" w:hAnsi="宋体" w:cs="宋体"/>
          <w:color w:val="000000"/>
          <w:sz w:val="32"/>
          <w:szCs w:val="24"/>
          <w:highlight w:val="none"/>
        </w:rPr>
      </w:pPr>
      <w:r/>
      <w:bookmarkStart w:id="27" w:name="OLE_LINK12"/>
      <w:r>
        <w:rPr>
          <w:rFonts w:hint="eastAsia"/>
          <w:color w:val="000000"/>
          <w:sz w:val="24"/>
          <w:highlight w:val="none"/>
          <w:lang w:val="en-US" w:eastAsia="zh-CN"/>
        </w:rPr>
        <w:t xml:space="preserve">本项目多个采购包供应商可兼投但不得兼中，评审顺序依次为采购包1、采购包2。同一供应商参与多个采购包投标时，在前一个采购包被确定为排名第一的中标候选人后，不作为其他采购包的合格供应商，由此导致其他采购包的合格供应商少于3家的，该采购包按照合格供应商不足3家处理。</w:t>
      </w:r>
      <w:bookmarkEnd w:id="27"/>
      <w:r>
        <w:rPr>
          <w:rFonts w:hint="eastAsia" w:ascii="宋体" w:hAnsi="宋体" w:cs="宋体"/>
          <w:color w:val="000000"/>
          <w:sz w:val="32"/>
          <w:szCs w:val="24"/>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hint="eastAsia" w:ascii="黑体" w:hAnsi="黑体" w:eastAsia="黑体" w:cs="黑体"/>
          <w:color w:val="000000"/>
          <w:sz w:val="24"/>
          <w:szCs w:val="24"/>
          <w:highlight w:val="none"/>
        </w:rPr>
      </w:r>
      <w:r/>
    </w:p>
    <w:p>
      <w:pPr>
        <w:pStyle w:val="873"/>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lang w:val="zh-CN"/>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73"/>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szCs w:val="24"/>
          <w:highlight w:val="none"/>
        </w:rPr>
      </w:r>
      <w:r/>
    </w:p>
    <w:p>
      <w:pPr>
        <w:pStyle w:val="873"/>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三、评审标准</w:t>
      </w:r>
      <w:r>
        <w:rPr>
          <w:rFonts w:hint="eastAsia" w:ascii="黑体" w:hAnsi="黑体" w:eastAsia="黑体" w:cs="黑体"/>
          <w:color w:val="000000"/>
          <w:sz w:val="24"/>
          <w:szCs w:val="24"/>
          <w:highlight w:val="none"/>
        </w:rPr>
      </w:r>
      <w:r/>
    </w:p>
    <w:p>
      <w:pPr>
        <w:pStyle w:val="873"/>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采购包1</w:t>
      </w:r>
      <w:r>
        <w:rPr>
          <w:rFonts w:ascii="黑体" w:hAnsi="黑体" w:eastAsia="黑体"/>
          <w:color w:val="000000"/>
          <w:sz w:val="24"/>
          <w:szCs w:val="24"/>
          <w:highlight w:val="none"/>
        </w:rPr>
      </w:r>
      <w:r/>
    </w:p>
    <w:tbl>
      <w:tblPr>
        <w:tblW w:w="958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637"/>
      </w:tblGrid>
      <w:tr>
        <w:trPr>
          <w:trHeight w:val="753"/>
        </w:trPr>
        <w:tc>
          <w:tcPr>
            <w:tcW w:w="637" w:type="dxa"/>
            <w:vAlign w:val="center"/>
            <w:textDirection w:val="lrTb"/>
            <w:noWrap w:val="false"/>
          </w:tcPr>
          <w:p>
            <w:pPr>
              <w:pStyle w:val="873"/>
              <w:jc w:val="center"/>
              <w:rPr>
                <w:rFonts w:ascii="宋体" w:hAnsi="宋体" w:cs="宋体"/>
                <w:b/>
                <w:bCs/>
                <w:color w:val="000000"/>
                <w:szCs w:val="21"/>
                <w:highlight w:val="none"/>
              </w:rPr>
            </w:pPr>
            <w:r>
              <w:rPr>
                <w:rFonts w:hint="eastAsia" w:ascii="宋体" w:hAnsi="宋体" w:cs="宋体"/>
                <w:b/>
                <w:bCs/>
                <w:color w:val="000000"/>
                <w:spacing w:val="-2"/>
                <w:szCs w:val="21"/>
                <w:highlight w:val="none"/>
              </w:rPr>
              <w:t xml:space="preserve">序号</w:t>
            </w:r>
            <w:r>
              <w:rPr>
                <w:rFonts w:ascii="宋体" w:hAnsi="宋体" w:cs="宋体"/>
                <w:b/>
                <w:bCs/>
                <w:color w:val="000000"/>
                <w:szCs w:val="21"/>
                <w:highlight w:val="none"/>
              </w:rPr>
            </w:r>
            <w:r/>
          </w:p>
        </w:tc>
        <w:tc>
          <w:tcPr>
            <w:tcW w:w="1289" w:type="dxa"/>
            <w:vAlign w:val="center"/>
            <w:textDirection w:val="lrTb"/>
            <w:noWrap w:val="false"/>
          </w:tcPr>
          <w:p>
            <w:pPr>
              <w:pStyle w:val="873"/>
              <w:jc w:val="center"/>
              <w:rPr>
                <w:rFonts w:ascii="宋体" w:hAnsi="宋体" w:cs="宋体"/>
                <w:b/>
                <w:bCs/>
                <w:color w:val="000000"/>
                <w:szCs w:val="21"/>
                <w:highlight w:val="none"/>
              </w:rPr>
            </w:pPr>
            <w:r>
              <w:rPr>
                <w:rFonts w:hint="eastAsia" w:ascii="宋体" w:hAnsi="宋体" w:cs="宋体"/>
                <w:b/>
                <w:bCs/>
                <w:color w:val="000000"/>
                <w:spacing w:val="-2"/>
                <w:szCs w:val="21"/>
                <w:highlight w:val="none"/>
              </w:rPr>
              <w:t xml:space="preserve">评</w:t>
            </w:r>
            <w:r>
              <w:rPr>
                <w:rFonts w:hint="eastAsia" w:ascii="宋体" w:hAnsi="宋体" w:cs="宋体"/>
                <w:b/>
                <w:bCs/>
                <w:color w:val="000000"/>
                <w:spacing w:val="-1"/>
                <w:szCs w:val="21"/>
                <w:highlight w:val="none"/>
              </w:rPr>
              <w:t xml:space="preserve">审因素</w:t>
            </w:r>
            <w:r>
              <w:rPr>
                <w:rFonts w:ascii="宋体" w:hAnsi="宋体" w:cs="宋体"/>
                <w:b/>
                <w:bCs/>
                <w:color w:val="000000"/>
                <w:szCs w:val="21"/>
                <w:highlight w:val="none"/>
              </w:rPr>
            </w:r>
            <w:r/>
          </w:p>
        </w:tc>
        <w:tc>
          <w:tcPr>
            <w:tcW w:w="6373" w:type="dxa"/>
            <w:vAlign w:val="center"/>
            <w:textDirection w:val="lrTb"/>
            <w:noWrap w:val="false"/>
          </w:tcPr>
          <w:p>
            <w:pPr>
              <w:pStyle w:val="873"/>
              <w:jc w:val="center"/>
              <w:rPr>
                <w:rFonts w:ascii="宋体" w:hAnsi="宋体" w:cs="宋体"/>
                <w:b/>
                <w:bCs/>
                <w:color w:val="000000"/>
                <w:szCs w:val="21"/>
                <w:highlight w:val="none"/>
              </w:rPr>
            </w:pPr>
            <w:r>
              <w:rPr>
                <w:rFonts w:hint="eastAsia" w:ascii="宋体" w:hAnsi="宋体" w:cs="宋体"/>
                <w:b/>
                <w:bCs/>
                <w:color w:val="000000"/>
                <w:spacing w:val="-2"/>
                <w:szCs w:val="21"/>
                <w:highlight w:val="none"/>
              </w:rPr>
              <w:t xml:space="preserve">评</w:t>
            </w:r>
            <w:r>
              <w:rPr>
                <w:rFonts w:hint="eastAsia" w:ascii="宋体" w:hAnsi="宋体" w:cs="宋体"/>
                <w:b/>
                <w:bCs/>
                <w:color w:val="000000"/>
                <w:spacing w:val="-1"/>
                <w:szCs w:val="21"/>
                <w:highlight w:val="none"/>
              </w:rPr>
              <w:t xml:space="preserve">审细则</w:t>
            </w:r>
            <w:r>
              <w:rPr>
                <w:rFonts w:ascii="宋体" w:hAnsi="宋体" w:cs="宋体"/>
                <w:b/>
                <w:bCs/>
                <w:color w:val="000000"/>
                <w:szCs w:val="21"/>
                <w:highlight w:val="none"/>
              </w:rPr>
            </w:r>
            <w:r/>
          </w:p>
        </w:tc>
        <w:tc>
          <w:tcPr>
            <w:tcW w:w="645" w:type="dxa"/>
            <w:vAlign w:val="center"/>
            <w:textDirection w:val="lrTb"/>
            <w:noWrap w:val="false"/>
          </w:tcPr>
          <w:p>
            <w:pPr>
              <w:pStyle w:val="873"/>
              <w:jc w:val="center"/>
              <w:rPr>
                <w:rFonts w:ascii="宋体" w:hAnsi="宋体" w:cs="宋体"/>
                <w:b/>
                <w:bCs/>
                <w:color w:val="000000"/>
                <w:szCs w:val="21"/>
                <w:highlight w:val="none"/>
              </w:rPr>
            </w:pPr>
            <w:r>
              <w:rPr>
                <w:rFonts w:hint="eastAsia" w:ascii="宋体" w:hAnsi="宋体" w:cs="宋体"/>
                <w:b/>
                <w:bCs/>
                <w:color w:val="000000"/>
                <w:spacing w:val="-4"/>
                <w:szCs w:val="21"/>
                <w:highlight w:val="none"/>
              </w:rPr>
              <w:t xml:space="preserve">分</w:t>
            </w:r>
            <w:r>
              <w:rPr>
                <w:rFonts w:hint="eastAsia" w:ascii="宋体" w:hAnsi="宋体" w:cs="宋体"/>
                <w:b/>
                <w:bCs/>
                <w:color w:val="000000"/>
                <w:spacing w:val="-2"/>
                <w:szCs w:val="21"/>
                <w:highlight w:val="none"/>
              </w:rPr>
              <w:t xml:space="preserve">值</w:t>
            </w:r>
            <w:r>
              <w:rPr>
                <w:rFonts w:ascii="宋体" w:hAnsi="宋体" w:cs="宋体"/>
                <w:b/>
                <w:bCs/>
                <w:color w:val="000000"/>
                <w:szCs w:val="21"/>
                <w:highlight w:val="none"/>
              </w:rPr>
            </w:r>
            <w:r/>
          </w:p>
        </w:tc>
        <w:tc>
          <w:tcPr>
            <w:tcW w:w="637" w:type="dxa"/>
            <w:vAlign w:val="center"/>
            <w:textDirection w:val="lrTb"/>
            <w:noWrap w:val="false"/>
          </w:tcPr>
          <w:p>
            <w:pPr>
              <w:pStyle w:val="873"/>
              <w:jc w:val="center"/>
              <w:rPr>
                <w:rFonts w:ascii="宋体" w:hAnsi="宋体" w:cs="宋体"/>
                <w:b/>
                <w:bCs/>
                <w:color w:val="000000"/>
                <w:szCs w:val="21"/>
                <w:highlight w:val="none"/>
              </w:rPr>
            </w:pPr>
            <w:r>
              <w:rPr>
                <w:rFonts w:hint="eastAsia" w:ascii="宋体" w:hAnsi="宋体" w:cs="宋体"/>
                <w:b/>
                <w:bCs/>
                <w:color w:val="000000"/>
                <w:spacing w:val="-6"/>
                <w:szCs w:val="21"/>
                <w:highlight w:val="none"/>
              </w:rPr>
              <w:t xml:space="preserve">分</w:t>
            </w:r>
            <w:r>
              <w:rPr>
                <w:rFonts w:hint="eastAsia" w:ascii="宋体" w:hAnsi="宋体" w:cs="宋体"/>
                <w:b/>
                <w:bCs/>
                <w:color w:val="000000"/>
                <w:spacing w:val="-5"/>
                <w:szCs w:val="21"/>
                <w:highlight w:val="none"/>
              </w:rPr>
              <w:t xml:space="preserve">值</w:t>
            </w:r>
            <w:r>
              <w:rPr>
                <w:rFonts w:hint="eastAsia" w:ascii="宋体" w:hAnsi="宋体" w:cs="宋体"/>
                <w:b/>
                <w:bCs/>
                <w:color w:val="000000"/>
                <w:szCs w:val="21"/>
                <w:highlight w:val="none"/>
              </w:rPr>
              <w:t xml:space="preserve"> </w:t>
            </w:r>
            <w:r>
              <w:rPr>
                <w:rFonts w:hint="eastAsia" w:ascii="宋体" w:hAnsi="宋体" w:cs="宋体"/>
                <w:b/>
                <w:bCs/>
                <w:color w:val="000000"/>
                <w:spacing w:val="-4"/>
                <w:szCs w:val="21"/>
                <w:highlight w:val="none"/>
              </w:rPr>
              <w:t xml:space="preserve">类型</w:t>
            </w:r>
            <w:r>
              <w:rPr>
                <w:rFonts w:ascii="宋体" w:hAnsi="宋体" w:cs="宋体"/>
                <w:b/>
                <w:bCs/>
                <w:color w:val="000000"/>
                <w:szCs w:val="21"/>
                <w:highlight w:val="none"/>
              </w:rPr>
            </w:r>
            <w:r/>
          </w:p>
        </w:tc>
      </w:tr>
      <w:tr>
        <w:trPr>
          <w:trHeight w:val="460"/>
        </w:trPr>
        <w:tc>
          <w:tcPr>
            <w:gridSpan w:val="5"/>
            <w:tcW w:w="9581" w:type="dxa"/>
            <w:vAlign w:val="center"/>
            <w:textDirection w:val="lrTb"/>
            <w:noWrap w:val="false"/>
          </w:tcPr>
          <w:p>
            <w:pPr>
              <w:pStyle w:val="873"/>
              <w:jc w:val="left"/>
              <w:rPr>
                <w:rFonts w:ascii="宋体" w:hAnsi="宋体" w:cs="宋体"/>
                <w:color w:val="000000"/>
                <w:szCs w:val="21"/>
                <w:highlight w:val="none"/>
              </w:rPr>
            </w:pPr>
            <w:r>
              <w:rPr>
                <w:rFonts w:hint="eastAsia" w:ascii="宋体" w:hAnsi="宋体" w:cs="宋体"/>
                <w:color w:val="000000"/>
                <w:spacing w:val="-3"/>
                <w:szCs w:val="21"/>
                <w:highlight w:val="none"/>
              </w:rPr>
              <w:t xml:space="preserve">1、价</w:t>
            </w:r>
            <w:r>
              <w:rPr>
                <w:rFonts w:hint="eastAsia" w:ascii="宋体" w:hAnsi="宋体" w:cs="宋体"/>
                <w:color w:val="000000"/>
                <w:spacing w:val="-2"/>
                <w:szCs w:val="21"/>
                <w:highlight w:val="none"/>
              </w:rPr>
              <w:t xml:space="preserve">格</w:t>
            </w:r>
            <w:r>
              <w:rPr>
                <w:rFonts w:ascii="宋体" w:hAnsi="宋体" w:cs="宋体"/>
                <w:color w:val="000000"/>
                <w:szCs w:val="21"/>
                <w:highlight w:val="none"/>
              </w:rPr>
            </w:r>
            <w:r/>
          </w:p>
        </w:tc>
      </w:tr>
      <w:tr>
        <w:trPr>
          <w:trHeight w:val="1030"/>
        </w:trPr>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ascii="宋体" w:hAnsi="宋体" w:cs="宋体"/>
                <w:color w:val="000000"/>
                <w:szCs w:val="21"/>
                <w:highlight w:val="none"/>
              </w:rPr>
            </w:r>
            <w:r/>
          </w:p>
        </w:tc>
        <w:tc>
          <w:tcPr>
            <w:tcW w:w="128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2"/>
                <w:szCs w:val="21"/>
                <w:highlight w:val="none"/>
              </w:rPr>
              <w:t xml:space="preserve">价格分</w:t>
            </w:r>
            <w:r>
              <w:rPr>
                <w:rFonts w:ascii="宋体" w:hAnsi="宋体" w:cs="宋体"/>
                <w:color w:val="000000"/>
                <w:szCs w:val="21"/>
                <w:highlight w:val="none"/>
              </w:rPr>
            </w:r>
            <w:r/>
          </w:p>
        </w:tc>
        <w:tc>
          <w:tcPr>
            <w:tcW w:w="6373" w:type="dxa"/>
            <w:vAlign w:val="center"/>
            <w:textDirection w:val="lrTb"/>
            <w:noWrap w:val="false"/>
          </w:tcPr>
          <w:p>
            <w:pPr>
              <w:pStyle w:val="873"/>
              <w:rPr>
                <w:rFonts w:ascii="宋体" w:hAnsi="宋体" w:cs="宋体"/>
                <w:color w:val="000000"/>
                <w:szCs w:val="21"/>
                <w:highlight w:val="none"/>
              </w:rPr>
            </w:pPr>
            <w:r>
              <w:rPr>
                <w:rFonts w:ascii="宋体" w:hAnsi="宋体" w:cs="宋体"/>
                <w:color w:val="000000"/>
                <w:spacing w:val="1"/>
                <w:szCs w:val="21"/>
                <w:highlight w:val="none"/>
              </w:rPr>
              <w:t xml:space="preserve">采用低价优先</w:t>
            </w:r>
            <w:r>
              <w:rPr>
                <w:rFonts w:ascii="宋体" w:hAnsi="宋体" w:cs="宋体"/>
                <w:color w:val="000000"/>
                <w:szCs w:val="21"/>
                <w:highlight w:val="none"/>
              </w:rPr>
              <w:t xml:space="preserve">法计算</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即满足</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文件要求且</w:t>
            </w:r>
            <w:r>
              <w:rPr>
                <w:rFonts w:hint="eastAsia" w:ascii="宋体" w:hAnsi="宋体" w:cs="宋体"/>
                <w:color w:val="000000"/>
                <w:szCs w:val="21"/>
                <w:highlight w:val="none"/>
              </w:rPr>
              <w:t xml:space="preserve">最终报价</w:t>
            </w:r>
            <w:r>
              <w:rPr>
                <w:rFonts w:ascii="宋体" w:hAnsi="宋体" w:cs="宋体"/>
                <w:color w:val="000000"/>
                <w:szCs w:val="21"/>
                <w:highlight w:val="none"/>
              </w:rPr>
              <w:t xml:space="preserve">最低的</w:t>
            </w:r>
            <w:r>
              <w:rPr>
                <w:rFonts w:hint="eastAsia" w:ascii="宋体" w:hAnsi="宋体" w:cs="宋体"/>
                <w:color w:val="000000"/>
                <w:szCs w:val="21"/>
                <w:highlight w:val="none"/>
              </w:rPr>
              <w:t xml:space="preserve">供应商</w:t>
            </w:r>
            <w:r>
              <w:rPr>
                <w:rFonts w:ascii="宋体" w:hAnsi="宋体" w:cs="宋体"/>
                <w:color w:val="000000"/>
                <w:spacing w:val="1"/>
                <w:szCs w:val="21"/>
                <w:highlight w:val="none"/>
              </w:rPr>
              <w:t xml:space="preserve">报价为评标基准</w:t>
            </w:r>
            <w:r>
              <w:rPr>
                <w:rFonts w:ascii="宋体" w:hAnsi="宋体" w:cs="宋体"/>
                <w:color w:val="000000"/>
                <w:szCs w:val="21"/>
                <w:highlight w:val="none"/>
              </w:rPr>
              <w:t xml:space="preserve">价</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其价格分为满分。其他</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的价格分统一按</w:t>
            </w:r>
            <w:r>
              <w:rPr>
                <w:rFonts w:ascii="宋体" w:hAnsi="宋体" w:cs="宋体"/>
                <w:color w:val="000000"/>
                <w:spacing w:val="-1"/>
                <w:szCs w:val="21"/>
                <w:highlight w:val="none"/>
              </w:rPr>
              <w:t xml:space="preserve">照下列公</w:t>
            </w:r>
            <w:r>
              <w:rPr>
                <w:rFonts w:ascii="宋体" w:hAnsi="宋体" w:cs="宋体"/>
                <w:color w:val="000000"/>
                <w:szCs w:val="21"/>
                <w:highlight w:val="none"/>
              </w:rPr>
              <w:t xml:space="preserve">式计算：报价得分=(评标基准价/</w:t>
            </w:r>
            <w:r>
              <w:rPr>
                <w:rFonts w:hint="eastAsia" w:ascii="宋体" w:hAnsi="宋体" w:cs="宋体"/>
                <w:color w:val="000000"/>
                <w:szCs w:val="21"/>
                <w:highlight w:val="none"/>
              </w:rPr>
              <w:t xml:space="preserve">最终</w:t>
            </w:r>
            <w:r>
              <w:rPr>
                <w:rFonts w:ascii="宋体" w:hAnsi="宋体" w:cs="宋体"/>
                <w:color w:val="000000"/>
                <w:szCs w:val="21"/>
                <w:highlight w:val="none"/>
              </w:rPr>
              <w:t xml:space="preserve">报价)×10</w:t>
            </w:r>
            <w:r>
              <w:rPr>
                <w:rFonts w:hint="eastAsia" w:ascii="宋体" w:hAnsi="宋体" w:cs="宋体"/>
                <w:color w:val="000000"/>
                <w:szCs w:val="21"/>
                <w:highlight w:val="none"/>
              </w:rPr>
              <w:t xml:space="preserve">（小数点保留两位）</w:t>
            </w:r>
            <w:r>
              <w:rPr>
                <w:rFonts w:ascii="宋体" w:hAnsi="宋体" w:cs="宋体"/>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10</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4"/>
                <w:szCs w:val="21"/>
                <w:highlight w:val="none"/>
              </w:rPr>
              <w:t xml:space="preserve">自动</w:t>
            </w:r>
            <w:r>
              <w:rPr>
                <w:rFonts w:hint="eastAsia" w:ascii="宋体" w:hAnsi="宋体" w:cs="宋体"/>
                <w:color w:val="000000"/>
                <w:szCs w:val="21"/>
                <w:highlight w:val="none"/>
              </w:rPr>
              <w:t xml:space="preserve"> </w:t>
            </w:r>
            <w:r>
              <w:rPr>
                <w:rFonts w:hint="eastAsia" w:ascii="宋体" w:hAnsi="宋体" w:cs="宋体"/>
                <w:color w:val="000000"/>
                <w:spacing w:val="-4"/>
                <w:szCs w:val="21"/>
                <w:highlight w:val="none"/>
              </w:rPr>
              <w:t xml:space="preserve">计算</w:t>
            </w:r>
            <w:r>
              <w:rPr>
                <w:rFonts w:ascii="宋体" w:hAnsi="宋体" w:cs="宋体"/>
                <w:color w:val="000000"/>
                <w:szCs w:val="21"/>
                <w:highlight w:val="none"/>
              </w:rPr>
            </w:r>
            <w:r/>
          </w:p>
        </w:tc>
      </w:tr>
      <w:tr>
        <w:trPr>
          <w:trHeight w:val="460"/>
        </w:trPr>
        <w:tc>
          <w:tcPr>
            <w:gridSpan w:val="5"/>
            <w:tcW w:w="9581" w:type="dxa"/>
            <w:vAlign w:val="center"/>
            <w:textDirection w:val="lrTb"/>
            <w:noWrap w:val="false"/>
          </w:tcPr>
          <w:p>
            <w:pPr>
              <w:pStyle w:val="873"/>
              <w:jc w:val="left"/>
              <w:rPr>
                <w:rFonts w:ascii="宋体" w:hAnsi="宋体" w:cs="宋体"/>
                <w:color w:val="000000"/>
                <w:szCs w:val="21"/>
                <w:highlight w:val="none"/>
              </w:rPr>
            </w:pPr>
            <w:r>
              <w:rPr>
                <w:rFonts w:hint="eastAsia" w:ascii="宋体" w:hAnsi="宋体" w:cs="宋体"/>
                <w:color w:val="000000"/>
                <w:spacing w:val="-3"/>
                <w:szCs w:val="21"/>
                <w:highlight w:val="none"/>
              </w:rPr>
              <w:t xml:space="preserve">2、技</w:t>
            </w:r>
            <w:r>
              <w:rPr>
                <w:rFonts w:hint="eastAsia" w:ascii="宋体" w:hAnsi="宋体" w:cs="宋体"/>
                <w:color w:val="000000"/>
                <w:spacing w:val="-2"/>
                <w:szCs w:val="21"/>
                <w:highlight w:val="none"/>
              </w:rPr>
              <w:t xml:space="preserve">术</w:t>
            </w:r>
            <w:r>
              <w:rPr>
                <w:rFonts w:ascii="宋体" w:hAnsi="宋体" w:cs="宋体"/>
                <w:color w:val="000000"/>
                <w:szCs w:val="21"/>
                <w:highlight w:val="none"/>
              </w:rPr>
            </w:r>
            <w:r/>
          </w:p>
        </w:tc>
      </w:tr>
      <w:tr>
        <w:trPr>
          <w:trHeight w:val="2628"/>
        </w:trPr>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4"/>
                <w:szCs w:val="21"/>
                <w:highlight w:val="none"/>
              </w:rPr>
              <w:t xml:space="preserve">2</w:t>
            </w:r>
            <w:r>
              <w:rPr>
                <w:rFonts w:hint="eastAsia" w:ascii="宋体" w:hAnsi="宋体" w:cs="宋体"/>
                <w:color w:val="000000"/>
                <w:spacing w:val="-2"/>
                <w:szCs w:val="21"/>
                <w:highlight w:val="none"/>
              </w:rPr>
              <w:t xml:space="preserve">.1</w:t>
            </w:r>
            <w:r>
              <w:rPr>
                <w:rFonts w:ascii="宋体" w:hAnsi="宋体" w:cs="宋体"/>
                <w:color w:val="000000"/>
                <w:szCs w:val="21"/>
                <w:highlight w:val="none"/>
              </w:rPr>
            </w:r>
            <w:r/>
          </w:p>
        </w:tc>
        <w:tc>
          <w:tcPr>
            <w:tcW w:w="128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4"/>
                <w:szCs w:val="21"/>
                <w:highlight w:val="none"/>
              </w:rPr>
              <w:t xml:space="preserve">需</w:t>
            </w:r>
            <w:r>
              <w:rPr>
                <w:rFonts w:hint="eastAsia" w:ascii="宋体" w:hAnsi="宋体" w:cs="宋体"/>
                <w:color w:val="000000"/>
                <w:spacing w:val="-3"/>
                <w:szCs w:val="21"/>
                <w:highlight w:val="none"/>
              </w:rPr>
              <w:t xml:space="preserve">求理解</w:t>
            </w:r>
            <w:r>
              <w:rPr>
                <w:rFonts w:ascii="宋体" w:hAnsi="宋体" w:cs="宋体"/>
                <w:color w:val="000000"/>
                <w:szCs w:val="21"/>
                <w:highlight w:val="none"/>
              </w:rPr>
            </w:r>
            <w:r/>
          </w:p>
        </w:tc>
        <w:tc>
          <w:tcPr>
            <w:tcW w:w="6373" w:type="dxa"/>
            <w:vAlign w:val="center"/>
            <w:textDirection w:val="lrTb"/>
            <w:noWrap w:val="false"/>
          </w:tcPr>
          <w:p>
            <w:pPr>
              <w:pStyle w:val="873"/>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供应商根据招标文件对本项目需求提供整体技术解决方案（每项内容逐条阐述）：1、重点难点分析；2、需求分析；3、总体架构设计。</w:t>
            </w:r>
            <w:r>
              <w:rPr>
                <w:rFonts w:hint="eastAsia" w:ascii="宋体" w:hAnsi="宋体" w:cs="宋体"/>
                <w:color w:val="000000"/>
                <w:szCs w:val="21"/>
                <w:highlight w:val="none"/>
                <w:lang w:bidi="ar"/>
              </w:rPr>
            </w:r>
            <w:r/>
          </w:p>
          <w:p>
            <w:pPr>
              <w:pStyle w:val="873"/>
              <w:numPr>
                <w:ilvl w:val="0"/>
                <w:numId w:val="6"/>
              </w:num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上述内容全面合理、可行性强、操作性强、贴合项目实际的，每项得3分；</w:t>
            </w:r>
            <w:r>
              <w:rPr>
                <w:rFonts w:hint="eastAsia" w:ascii="宋体" w:hAnsi="宋体" w:cs="宋体"/>
                <w:color w:val="000000"/>
                <w:szCs w:val="21"/>
                <w:highlight w:val="none"/>
                <w:lang w:bidi="ar"/>
              </w:rPr>
            </w:r>
            <w:r/>
          </w:p>
          <w:p>
            <w:pPr>
              <w:pStyle w:val="873"/>
              <w:numPr>
                <w:ilvl w:val="0"/>
                <w:numId w:val="6"/>
              </w:num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上述内容比较合理、具有可行性和操作性、与项日实际较为贴合的，每项得2分；</w:t>
            </w:r>
            <w:r>
              <w:rPr>
                <w:rFonts w:hint="eastAsia" w:ascii="宋体" w:hAnsi="宋体" w:cs="宋体"/>
                <w:color w:val="000000"/>
                <w:szCs w:val="21"/>
                <w:highlight w:val="none"/>
                <w:lang w:bidi="ar"/>
              </w:rPr>
            </w:r>
            <w:r/>
          </w:p>
          <w:p>
            <w:pPr>
              <w:pStyle w:val="873"/>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（3）上述内容基本合理、具有一定的可行性、具有一定的操作性、与项日实际基本贴合的，每项得1分；</w:t>
            </w:r>
            <w:r>
              <w:rPr>
                <w:rFonts w:hint="eastAsia" w:ascii="宋体" w:hAnsi="宋体" w:cs="宋体"/>
                <w:color w:val="000000"/>
                <w:szCs w:val="21"/>
                <w:highlight w:val="none"/>
                <w:lang w:bidi="ar"/>
              </w:rPr>
            </w:r>
            <w:r/>
          </w:p>
          <w:p>
            <w:pPr>
              <w:pStyle w:val="873"/>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（4）上述每项内容完全脱离采购需求或未作完整叙述的不得分。</w:t>
            </w:r>
            <w:r>
              <w:rPr>
                <w:rFonts w:ascii="宋体" w:hAnsi="宋体" w:cs="宋体"/>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主</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zCs w:val="21"/>
                <w:highlight w:val="none"/>
              </w:rPr>
            </w:r>
            <w:r/>
          </w:p>
        </w:tc>
      </w:tr>
      <w:tr>
        <w:trPr>
          <w:trHeight w:val="2511"/>
        </w:trPr>
        <w:tc>
          <w:tcPr>
            <w:tcW w:w="637" w:type="dxa"/>
            <w:vAlign w:val="center"/>
            <w:textDirection w:val="lrTb"/>
            <w:noWrap w:val="false"/>
          </w:tcPr>
          <w:p>
            <w:pPr>
              <w:pStyle w:val="873"/>
              <w:jc w:val="center"/>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2</w:t>
            </w:r>
            <w:r>
              <w:rPr>
                <w:rFonts w:hint="eastAsia" w:ascii="宋体" w:hAnsi="宋体" w:cs="宋体"/>
                <w:color w:val="000000"/>
                <w:spacing w:val="-2"/>
                <w:szCs w:val="21"/>
                <w:highlight w:val="none"/>
              </w:rPr>
              <w:t xml:space="preserve">.2</w:t>
            </w:r>
            <w:r>
              <w:rPr>
                <w:rFonts w:ascii="宋体" w:hAnsi="宋体" w:cs="宋体"/>
                <w:color w:val="000000"/>
                <w:spacing w:val="-4"/>
                <w:szCs w:val="21"/>
                <w:highlight w:val="none"/>
              </w:rPr>
            </w:r>
            <w:r/>
          </w:p>
        </w:tc>
        <w:tc>
          <w:tcPr>
            <w:tcW w:w="1289" w:type="dxa"/>
            <w:vAlign w:val="center"/>
            <w:textDirection w:val="lrTb"/>
            <w:noWrap w:val="false"/>
          </w:tcPr>
          <w:p>
            <w:pPr>
              <w:pStyle w:val="873"/>
              <w:jc w:val="center"/>
              <w:rPr>
                <w:rFonts w:ascii="宋体" w:hAnsi="宋体" w:cs="宋体"/>
                <w:color w:val="000000"/>
                <w:spacing w:val="-4"/>
                <w:szCs w:val="21"/>
                <w:highlight w:val="none"/>
              </w:rPr>
            </w:pPr>
            <w:r>
              <w:rPr>
                <w:rFonts w:hint="eastAsia" w:ascii="宋体" w:hAnsi="宋体" w:cs="宋体"/>
                <w:color w:val="000000"/>
                <w:spacing w:val="-1"/>
                <w:szCs w:val="21"/>
                <w:highlight w:val="none"/>
              </w:rPr>
              <w:t xml:space="preserve">技术方</w:t>
            </w:r>
            <w:r>
              <w:rPr>
                <w:rFonts w:hint="eastAsia" w:ascii="宋体" w:hAnsi="宋体" w:cs="宋体"/>
                <w:color w:val="000000"/>
                <w:szCs w:val="21"/>
                <w:highlight w:val="none"/>
              </w:rPr>
              <w:t xml:space="preserve">案</w:t>
            </w:r>
            <w:r>
              <w:rPr>
                <w:rFonts w:ascii="宋体" w:hAnsi="宋体" w:cs="宋体"/>
                <w:color w:val="000000"/>
                <w:spacing w:val="-4"/>
                <w:szCs w:val="21"/>
                <w:highlight w:val="none"/>
              </w:rPr>
            </w:r>
            <w:r/>
          </w:p>
        </w:tc>
        <w:tc>
          <w:tcPr>
            <w:tcW w:w="6373" w:type="dxa"/>
            <w:vAlign w:val="center"/>
            <w:textDirection w:val="lrTb"/>
            <w:noWrap w:val="false"/>
          </w:tcPr>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供应商根据招标文件对本项目需求提供整体技术解决方案（每项内容逐条阐述）：1、总体设计；2、技术路线；3、建设内容。</w:t>
            </w:r>
            <w:r>
              <w:rPr>
                <w:rFonts w:hint="eastAsia" w:ascii="宋体" w:hAnsi="宋体" w:cs="宋体"/>
                <w:bCs/>
                <w:color w:val="000000"/>
                <w:szCs w:val="21"/>
                <w:highlight w:val="none"/>
              </w:rPr>
            </w:r>
            <w:r/>
          </w:p>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（1）上述内容全面合理、可行性强、操作性强、贴合项目实际的，每项得3分；</w:t>
            </w:r>
            <w:r>
              <w:rPr>
                <w:rFonts w:hint="eastAsia" w:ascii="宋体" w:hAnsi="宋体" w:cs="宋体"/>
                <w:bCs/>
                <w:color w:val="000000"/>
                <w:szCs w:val="21"/>
                <w:highlight w:val="none"/>
              </w:rPr>
            </w:r>
            <w:r/>
          </w:p>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（2）上述内容比较合理、具有可行性和操作性、与项日实际较为贴合的，每项得2分；</w:t>
            </w:r>
            <w:r>
              <w:rPr>
                <w:rFonts w:hint="eastAsia" w:ascii="宋体" w:hAnsi="宋体" w:cs="宋体"/>
                <w:bCs/>
                <w:color w:val="000000"/>
                <w:szCs w:val="21"/>
                <w:highlight w:val="none"/>
              </w:rPr>
            </w:r>
            <w:r/>
          </w:p>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（3）上述内容基本合理、具有一定的可行性、具有一定的操作性、与项日实际基本贴合的，每项得1分；</w:t>
            </w:r>
            <w:r>
              <w:rPr>
                <w:rFonts w:hint="eastAsia" w:ascii="宋体" w:hAnsi="宋体" w:cs="宋体"/>
                <w:bCs/>
                <w:color w:val="000000"/>
                <w:szCs w:val="21"/>
                <w:highlight w:val="none"/>
              </w:rPr>
            </w:r>
            <w:r/>
          </w:p>
          <w:p>
            <w:pPr>
              <w:pStyle w:val="873"/>
              <w:rPr>
                <w:rFonts w:ascii="宋体" w:hAnsi="宋体" w:cs="宋体"/>
                <w:b/>
                <w:bCs/>
                <w:color w:val="000000"/>
                <w:szCs w:val="21"/>
                <w:highlight w:val="none"/>
              </w:rPr>
            </w:pPr>
            <w:r>
              <w:rPr>
                <w:rFonts w:hint="eastAsia" w:ascii="宋体" w:hAnsi="宋体" w:cs="宋体"/>
                <w:bCs/>
                <w:color w:val="000000"/>
                <w:szCs w:val="21"/>
                <w:highlight w:val="none"/>
              </w:rPr>
              <w:t xml:space="preserve">（4）上述每项内容完全脱离采购需求或未作完整叙述的不得分。</w:t>
            </w:r>
            <w:r>
              <w:rPr>
                <w:rFonts w:ascii="宋体" w:hAnsi="宋体" w:cs="宋体"/>
                <w:b/>
                <w:bCs/>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主</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pacing w:val="-6"/>
                <w:szCs w:val="21"/>
                <w:highlight w:val="none"/>
              </w:rPr>
            </w:r>
            <w:r/>
          </w:p>
        </w:tc>
      </w:tr>
      <w:tr>
        <w:trPr>
          <w:trHeight w:val="1343"/>
        </w:trPr>
        <w:tc>
          <w:tcPr>
            <w:tcW w:w="637" w:type="dxa"/>
            <w:vAlign w:val="center"/>
            <w:textDirection w:val="lrTb"/>
            <w:noWrap w:val="false"/>
          </w:tcPr>
          <w:p>
            <w:pPr>
              <w:pStyle w:val="873"/>
              <w:jc w:val="center"/>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2.3</w:t>
            </w:r>
            <w:r>
              <w:rPr>
                <w:rFonts w:ascii="宋体" w:hAnsi="宋体" w:cs="宋体"/>
                <w:color w:val="000000"/>
                <w:spacing w:val="-4"/>
                <w:szCs w:val="21"/>
                <w:highlight w:val="none"/>
              </w:rPr>
            </w:r>
            <w:r/>
          </w:p>
        </w:tc>
        <w:tc>
          <w:tcPr>
            <w:tcW w:w="1289" w:type="dxa"/>
            <w:vAlign w:val="center"/>
            <w:textDirection w:val="lrTb"/>
            <w:noWrap w:val="false"/>
          </w:tcPr>
          <w:p>
            <w:pPr>
              <w:pStyle w:val="873"/>
              <w:jc w:val="center"/>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实施方</w:t>
            </w:r>
            <w:r>
              <w:rPr>
                <w:rFonts w:hint="eastAsia" w:ascii="宋体" w:hAnsi="宋体" w:cs="宋体"/>
                <w:color w:val="000000"/>
                <w:szCs w:val="21"/>
                <w:highlight w:val="none"/>
              </w:rPr>
              <w:t xml:space="preserve">案</w:t>
            </w:r>
            <w:r>
              <w:rPr>
                <w:rFonts w:ascii="宋体" w:hAnsi="宋体" w:cs="宋体"/>
                <w:color w:val="000000"/>
                <w:spacing w:val="-1"/>
                <w:szCs w:val="21"/>
                <w:highlight w:val="none"/>
              </w:rPr>
            </w:r>
            <w:r/>
          </w:p>
        </w:tc>
        <w:tc>
          <w:tcPr>
            <w:tcW w:w="6373" w:type="dxa"/>
            <w:vAlign w:val="center"/>
            <w:textDirection w:val="lrTb"/>
            <w:noWrap w:val="false"/>
          </w:tcPr>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供应商根据招标文件要求提供项目实施方案（每项内容逐条阐述）：1、项目进度计划；2、风险控制管理；3、人员配置。</w:t>
            </w:r>
            <w:r>
              <w:rPr>
                <w:rFonts w:hint="eastAsia" w:ascii="宋体" w:hAnsi="宋体" w:cs="宋体"/>
                <w:bCs/>
                <w:color w:val="000000"/>
                <w:szCs w:val="21"/>
                <w:highlight w:val="none"/>
              </w:rPr>
            </w:r>
            <w:r/>
          </w:p>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（1）上述内容全面合理、可行性强、操作性强、贴合项目实际的，每项得3分；</w:t>
            </w:r>
            <w:r>
              <w:rPr>
                <w:rFonts w:hint="eastAsia" w:ascii="宋体" w:hAnsi="宋体" w:cs="宋体"/>
                <w:bCs/>
                <w:color w:val="000000"/>
                <w:szCs w:val="21"/>
                <w:highlight w:val="none"/>
              </w:rPr>
            </w:r>
            <w:r/>
          </w:p>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（2）上述内容比较合理、具有可行性和操作性、与项日实际较为贴合的，每项得2分；</w:t>
            </w:r>
            <w:r>
              <w:rPr>
                <w:rFonts w:hint="eastAsia" w:ascii="宋体" w:hAnsi="宋体" w:cs="宋体"/>
                <w:bCs/>
                <w:color w:val="000000"/>
                <w:szCs w:val="21"/>
                <w:highlight w:val="none"/>
              </w:rPr>
            </w:r>
            <w:r/>
          </w:p>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（3）上述内容基本合理、具有一定的可行性、具有一定的操作性、与项日实际基本贴合的，每项得1分；</w:t>
            </w:r>
            <w:r>
              <w:rPr>
                <w:rFonts w:hint="eastAsia" w:ascii="宋体" w:hAnsi="宋体" w:cs="宋体"/>
                <w:bCs/>
                <w:color w:val="000000"/>
                <w:szCs w:val="21"/>
                <w:highlight w:val="none"/>
              </w:rPr>
            </w:r>
            <w:r/>
          </w:p>
          <w:p>
            <w:pPr>
              <w:pStyle w:val="873"/>
              <w:rPr>
                <w:rFonts w:ascii="宋体" w:hAnsi="宋体" w:cs="宋体"/>
                <w:bCs/>
                <w:color w:val="000000"/>
                <w:szCs w:val="21"/>
                <w:highlight w:val="none"/>
              </w:rPr>
            </w:pPr>
            <w:r>
              <w:rPr>
                <w:rFonts w:hint="eastAsia" w:ascii="宋体" w:hAnsi="宋体" w:cs="宋体"/>
                <w:bCs/>
                <w:color w:val="000000"/>
                <w:szCs w:val="21"/>
                <w:highlight w:val="none"/>
              </w:rPr>
              <w:t xml:space="preserve">（4）上述每项内容完全脱离采购需求或未作完整叙述的不得分。</w:t>
            </w:r>
            <w:r>
              <w:rPr>
                <w:rFonts w:ascii="宋体" w:hAnsi="宋体" w:cs="宋体"/>
                <w:bCs/>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主</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pacing w:val="-6"/>
                <w:szCs w:val="21"/>
                <w:highlight w:val="none"/>
              </w:rPr>
            </w:r>
            <w:r/>
          </w:p>
        </w:tc>
      </w:tr>
      <w:tr>
        <w:trPr>
          <w:trHeight w:val="2147"/>
        </w:trPr>
        <w:tc>
          <w:tcPr>
            <w:tcW w:w="637" w:type="dxa"/>
            <w:vAlign w:val="center"/>
            <w:textDirection w:val="lrTb"/>
            <w:noWrap w:val="false"/>
          </w:tcPr>
          <w:p>
            <w:pPr>
              <w:pStyle w:val="873"/>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ascii="宋体" w:hAnsi="宋体" w:cs="宋体"/>
                <w:color w:val="000000"/>
                <w:szCs w:val="21"/>
                <w:highlight w:val="none"/>
                <w:lang w:bidi="ar"/>
              </w:rPr>
            </w:r>
            <w:r/>
          </w:p>
        </w:tc>
        <w:tc>
          <w:tcPr>
            <w:tcW w:w="1289" w:type="dxa"/>
            <w:vAlign w:val="center"/>
            <w:textDirection w:val="lrTb"/>
            <w:noWrap w:val="false"/>
          </w:tcPr>
          <w:p>
            <w:pPr>
              <w:pStyle w:val="873"/>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质量控制方案</w:t>
            </w:r>
            <w:r>
              <w:rPr>
                <w:rFonts w:ascii="宋体" w:hAnsi="宋体" w:cs="宋体"/>
                <w:color w:val="000000"/>
                <w:szCs w:val="21"/>
                <w:highlight w:val="none"/>
                <w:lang w:bidi="ar"/>
              </w:rPr>
            </w:r>
            <w:r/>
          </w:p>
        </w:tc>
        <w:tc>
          <w:tcPr>
            <w:tcW w:w="6373" w:type="dxa"/>
            <w:vAlign w:val="center"/>
            <w:textDirection w:val="lrTb"/>
            <w:noWrap w:val="false"/>
          </w:tcPr>
          <w:p>
            <w:pPr>
              <w:pStyle w:val="873"/>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供应商根据招标文件要求提供项目质量控制方案（每项内容逐条阐述）：1、质量管理体系；2、质量控制措施；3、相关保密制度。</w:t>
            </w:r>
            <w:r>
              <w:rPr>
                <w:rFonts w:hint="eastAsia" w:ascii="宋体" w:hAnsi="宋体" w:cs="宋体"/>
                <w:bCs/>
                <w:color w:val="000000"/>
                <w:szCs w:val="21"/>
                <w:highlight w:val="none"/>
              </w:rPr>
            </w:r>
            <w:r/>
          </w:p>
          <w:p>
            <w:pPr>
              <w:pStyle w:val="873"/>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（1）上述内容全面合理、可行性强、操作性强、贴合项目实际的，每项得3分；</w:t>
            </w:r>
            <w:r>
              <w:rPr>
                <w:rFonts w:hint="eastAsia" w:ascii="宋体" w:hAnsi="宋体" w:cs="宋体"/>
                <w:bCs/>
                <w:color w:val="000000"/>
                <w:szCs w:val="21"/>
                <w:highlight w:val="none"/>
              </w:rPr>
            </w:r>
            <w:r/>
          </w:p>
          <w:p>
            <w:pPr>
              <w:pStyle w:val="873"/>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（2）上述内容比较合理、具有可行性和操作性、与项日实际较为贴合的，每项得2分；</w:t>
            </w:r>
            <w:r>
              <w:rPr>
                <w:rFonts w:hint="eastAsia" w:ascii="宋体" w:hAnsi="宋体" w:cs="宋体"/>
                <w:bCs/>
                <w:color w:val="000000"/>
                <w:szCs w:val="21"/>
                <w:highlight w:val="none"/>
              </w:rPr>
            </w:r>
            <w:r/>
          </w:p>
          <w:p>
            <w:pPr>
              <w:pStyle w:val="873"/>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（3）上述内容基本合理、具有一定的可行性、具有一定的操作性、与项日实际基本贴合的，每项得1分；</w:t>
            </w:r>
            <w:r>
              <w:rPr>
                <w:rFonts w:hint="eastAsia" w:ascii="宋体" w:hAnsi="宋体" w:cs="宋体"/>
                <w:bCs/>
                <w:color w:val="000000"/>
                <w:szCs w:val="21"/>
                <w:highlight w:val="none"/>
              </w:rPr>
            </w:r>
            <w:r/>
          </w:p>
          <w:p>
            <w:pPr>
              <w:pStyle w:val="873"/>
              <w:widowControl/>
              <w:rPr>
                <w:rFonts w:ascii="宋体" w:hAnsi="宋体" w:cs="宋体"/>
                <w:bCs/>
                <w:color w:val="000000"/>
                <w:szCs w:val="21"/>
                <w:highlight w:val="none"/>
              </w:rPr>
            </w:pPr>
            <w:r>
              <w:rPr>
                <w:rFonts w:hint="eastAsia" w:ascii="宋体" w:hAnsi="宋体" w:cs="宋体"/>
                <w:bCs/>
                <w:color w:val="000000"/>
                <w:szCs w:val="21"/>
                <w:highlight w:val="none"/>
              </w:rPr>
              <w:t xml:space="preserve">（4）上述每项内容完全脱离采购需求或未作完整叙述的不得分。</w:t>
            </w:r>
            <w:r>
              <w:rPr>
                <w:rFonts w:ascii="宋体" w:hAnsi="宋体" w:cs="宋体"/>
                <w:bCs/>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W w:w="637" w:type="dxa"/>
            <w:vAlign w:val="center"/>
            <w:textDirection w:val="lrTb"/>
            <w:noWrap w:val="false"/>
          </w:tcPr>
          <w:p>
            <w:pPr>
              <w:pStyle w:val="873"/>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主观分</w:t>
            </w:r>
            <w:r>
              <w:rPr>
                <w:rFonts w:ascii="宋体" w:hAnsi="宋体" w:cs="宋体"/>
                <w:color w:val="000000"/>
                <w:szCs w:val="21"/>
                <w:highlight w:val="none"/>
                <w:lang w:bidi="ar"/>
              </w:rPr>
            </w:r>
            <w:r/>
          </w:p>
        </w:tc>
      </w:tr>
      <w:tr>
        <w:trPr>
          <w:trHeight w:val="1979"/>
        </w:trPr>
        <w:tc>
          <w:tcPr>
            <w:tcW w:w="637" w:type="dxa"/>
            <w:vAlign w:val="center"/>
            <w:textDirection w:val="lrTb"/>
            <w:noWrap w:val="false"/>
          </w:tcPr>
          <w:p>
            <w:pPr>
              <w:pStyle w:val="873"/>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ascii="宋体" w:hAnsi="宋体" w:cs="宋体"/>
                <w:color w:val="000000"/>
                <w:szCs w:val="21"/>
                <w:highlight w:val="none"/>
                <w:lang w:bidi="ar"/>
              </w:rPr>
            </w:r>
            <w:r/>
          </w:p>
        </w:tc>
        <w:tc>
          <w:tcPr>
            <w:tcW w:w="1289" w:type="dxa"/>
            <w:vAlign w:val="center"/>
            <w:textDirection w:val="lrTb"/>
            <w:noWrap w:val="false"/>
          </w:tcPr>
          <w:p>
            <w:pPr>
              <w:pStyle w:val="873"/>
              <w:jc w:val="left"/>
              <w:widowControl/>
              <w:rPr>
                <w:color w:val="000000"/>
                <w:highlight w:val="none"/>
              </w:rPr>
            </w:pPr>
            <w:r>
              <w:rPr>
                <w:rFonts w:hint="eastAsia" w:ascii="宋体" w:hAnsi="宋体" w:cs="宋体"/>
                <w:color w:val="000000"/>
                <w:szCs w:val="21"/>
                <w:highlight w:val="none"/>
                <w:lang w:bidi="ar"/>
              </w:rPr>
              <w:t xml:space="preserve">信息安全保障方案</w:t>
            </w:r>
            <w:r>
              <w:rPr>
                <w:color w:val="000000"/>
                <w:highlight w:val="none"/>
              </w:rPr>
            </w:r>
            <w:r/>
          </w:p>
          <w:p>
            <w:pPr>
              <w:pStyle w:val="873"/>
              <w:jc w:val="center"/>
              <w:rPr>
                <w:rFonts w:ascii="宋体" w:hAnsi="宋体" w:cs="宋体"/>
                <w:color w:val="000000"/>
                <w:szCs w:val="21"/>
                <w:highlight w:val="none"/>
                <w:lang w:bidi="ar"/>
              </w:rPr>
            </w:pPr>
            <w:r>
              <w:rPr>
                <w:rFonts w:ascii="宋体" w:hAnsi="宋体" w:cs="宋体"/>
                <w:color w:val="000000"/>
                <w:szCs w:val="21"/>
                <w:highlight w:val="none"/>
                <w:lang w:bidi="ar"/>
              </w:rPr>
            </w:r>
            <w:r/>
          </w:p>
        </w:tc>
        <w:tc>
          <w:tcPr>
            <w:tcW w:w="6373" w:type="dxa"/>
            <w:vAlign w:val="center"/>
            <w:textDirection w:val="lrTb"/>
            <w:noWrap w:val="false"/>
          </w:tcPr>
          <w:p>
            <w:pPr>
              <w:pStyle w:val="873"/>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供应商根据招标文件要求提供售后服务及培训方案（每项内容逐条阐述）：1、管理制度；2、保障措施；3、应急方案。</w:t>
            </w:r>
            <w:r>
              <w:rPr>
                <w:rFonts w:hint="eastAsia" w:ascii="宋体" w:hAnsi="宋体" w:cs="宋体"/>
                <w:color w:val="000000"/>
                <w:szCs w:val="21"/>
                <w:highlight w:val="none"/>
                <w:lang w:bidi="ar"/>
              </w:rPr>
            </w:r>
            <w:r/>
          </w:p>
          <w:p>
            <w:pPr>
              <w:pStyle w:val="873"/>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（1）上述内容全面合理、可行性强、操作性强、贴合项目实际的，每项得3分；</w:t>
            </w:r>
            <w:r>
              <w:rPr>
                <w:rFonts w:hint="eastAsia" w:ascii="宋体" w:hAnsi="宋体" w:cs="宋体"/>
                <w:color w:val="000000"/>
                <w:szCs w:val="21"/>
                <w:highlight w:val="none"/>
                <w:lang w:bidi="ar"/>
              </w:rPr>
            </w:r>
            <w:r/>
          </w:p>
          <w:p>
            <w:pPr>
              <w:pStyle w:val="873"/>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（2）上述内容比较合理、具有可行性和操作性、与项日实际较为贴合的，每项得2分；</w:t>
            </w:r>
            <w:r>
              <w:rPr>
                <w:rFonts w:hint="eastAsia" w:ascii="宋体" w:hAnsi="宋体" w:cs="宋体"/>
                <w:color w:val="000000"/>
                <w:szCs w:val="21"/>
                <w:highlight w:val="none"/>
                <w:lang w:bidi="ar"/>
              </w:rPr>
            </w:r>
            <w:r/>
          </w:p>
          <w:p>
            <w:pPr>
              <w:pStyle w:val="873"/>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（3）上述内容基本合理、具有一定的可行性、具有一定的操作性、与项日实际基本贴合的，每项得1分；</w:t>
            </w:r>
            <w:r>
              <w:rPr>
                <w:rFonts w:hint="eastAsia" w:ascii="宋体" w:hAnsi="宋体" w:cs="宋体"/>
                <w:color w:val="000000"/>
                <w:szCs w:val="21"/>
                <w:highlight w:val="none"/>
                <w:lang w:bidi="ar"/>
              </w:rPr>
            </w:r>
            <w:r/>
          </w:p>
          <w:p>
            <w:pPr>
              <w:pStyle w:val="873"/>
              <w:widowControl/>
              <w:rPr>
                <w:rFonts w:ascii="宋体" w:hAnsi="宋体" w:cs="宋体"/>
                <w:bCs/>
                <w:color w:val="000000"/>
                <w:szCs w:val="21"/>
                <w:highlight w:val="none"/>
              </w:rPr>
            </w:pPr>
            <w:r>
              <w:rPr>
                <w:rFonts w:hint="eastAsia" w:ascii="宋体" w:hAnsi="宋体" w:cs="宋体"/>
                <w:color w:val="000000"/>
                <w:szCs w:val="21"/>
                <w:highlight w:val="none"/>
                <w:lang w:bidi="ar"/>
              </w:rPr>
              <w:t xml:space="preserve">（4）上述每项内容完全脱离采购需求或未作完整叙述的不得分。</w:t>
            </w:r>
            <w:r>
              <w:rPr>
                <w:rFonts w:ascii="宋体" w:hAnsi="宋体" w:cs="宋体"/>
                <w:bCs/>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W w:w="637" w:type="dxa"/>
            <w:vAlign w:val="center"/>
            <w:textDirection w:val="lrTb"/>
            <w:noWrap w:val="false"/>
          </w:tcPr>
          <w:p>
            <w:pPr>
              <w:pStyle w:val="873"/>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主观分</w:t>
            </w:r>
            <w:r>
              <w:rPr>
                <w:rFonts w:ascii="宋体" w:hAnsi="宋体" w:cs="宋体"/>
                <w:color w:val="000000"/>
                <w:szCs w:val="21"/>
                <w:highlight w:val="none"/>
                <w:lang w:bidi="ar"/>
              </w:rPr>
            </w:r>
            <w:r/>
          </w:p>
        </w:tc>
      </w:tr>
      <w:tr>
        <w:trPr>
          <w:trHeight w:val="2262"/>
        </w:trPr>
        <w:tc>
          <w:tcPr>
            <w:tcW w:w="637" w:type="dxa"/>
            <w:vAlign w:val="center"/>
            <w:textDirection w:val="lrTb"/>
            <w:noWrap w:val="false"/>
          </w:tcPr>
          <w:p>
            <w:pPr>
              <w:pStyle w:val="873"/>
              <w:jc w:val="center"/>
              <w:rPr>
                <w:rFonts w:ascii="宋体" w:hAnsi="宋体" w:cs="宋体"/>
                <w:color w:val="000000"/>
                <w:spacing w:val="-4"/>
                <w:szCs w:val="21"/>
                <w:highlight w:val="none"/>
              </w:rPr>
            </w:pPr>
            <w:r>
              <w:rPr>
                <w:rFonts w:hint="eastAsia" w:ascii="宋体" w:hAnsi="宋体" w:cs="宋体"/>
                <w:color w:val="000000"/>
                <w:szCs w:val="21"/>
                <w:highlight w:val="none"/>
                <w:lang w:bidi="ar"/>
              </w:rPr>
              <w:t xml:space="preserve">2.4</w:t>
            </w:r>
            <w:r>
              <w:rPr>
                <w:rFonts w:ascii="宋体" w:hAnsi="宋体" w:cs="宋体"/>
                <w:color w:val="000000"/>
                <w:spacing w:val="-4"/>
                <w:szCs w:val="21"/>
                <w:highlight w:val="none"/>
              </w:rPr>
            </w:r>
            <w:r/>
          </w:p>
        </w:tc>
        <w:tc>
          <w:tcPr>
            <w:tcW w:w="1289" w:type="dxa"/>
            <w:vAlign w:val="center"/>
            <w:textDirection w:val="lrTb"/>
            <w:noWrap w:val="false"/>
          </w:tcPr>
          <w:p>
            <w:pPr>
              <w:pStyle w:val="873"/>
              <w:jc w:val="center"/>
              <w:rPr>
                <w:rFonts w:ascii="宋体" w:hAnsi="宋体" w:cs="宋体"/>
                <w:color w:val="000000"/>
                <w:spacing w:val="-4"/>
                <w:szCs w:val="21"/>
                <w:highlight w:val="none"/>
              </w:rPr>
            </w:pPr>
            <w:r>
              <w:rPr>
                <w:rFonts w:hint="eastAsia" w:ascii="宋体" w:hAnsi="宋体" w:cs="宋体"/>
                <w:color w:val="000000"/>
                <w:szCs w:val="21"/>
                <w:highlight w:val="none"/>
                <w:lang w:bidi="ar"/>
              </w:rPr>
              <w:t xml:space="preserve">售后服务方案</w:t>
            </w:r>
            <w:r>
              <w:rPr>
                <w:rFonts w:ascii="宋体" w:hAnsi="宋体" w:cs="宋体"/>
                <w:color w:val="000000"/>
                <w:spacing w:val="-4"/>
                <w:szCs w:val="21"/>
                <w:highlight w:val="none"/>
              </w:rPr>
            </w:r>
            <w:r/>
          </w:p>
        </w:tc>
        <w:tc>
          <w:tcPr>
            <w:tcW w:w="6373" w:type="dxa"/>
            <w:vAlign w:val="center"/>
            <w:textDirection w:val="lrTb"/>
            <w:noWrap w:val="false"/>
          </w:tcPr>
          <w:p>
            <w:pPr>
              <w:pStyle w:val="873"/>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供应商根据招标文件要求提供售后服务及培训方案（每项内容逐条阐述）：1、售后服务方案；2、培训方案。</w:t>
            </w:r>
            <w:r>
              <w:rPr>
                <w:rFonts w:hint="eastAsia" w:ascii="宋体" w:hAnsi="宋体" w:cs="宋体"/>
                <w:bCs/>
                <w:color w:val="000000"/>
                <w:szCs w:val="21"/>
                <w:highlight w:val="none"/>
              </w:rPr>
            </w:r>
            <w:r/>
          </w:p>
          <w:p>
            <w:pPr>
              <w:pStyle w:val="873"/>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（1）上述内容全面合理、可行性强、操作性强、贴合项目实际的，每项得3分；</w:t>
            </w:r>
            <w:r>
              <w:rPr>
                <w:rFonts w:hint="eastAsia" w:ascii="宋体" w:hAnsi="宋体" w:cs="宋体"/>
                <w:color w:val="000000"/>
                <w:szCs w:val="21"/>
                <w:highlight w:val="none"/>
                <w:lang w:bidi="ar"/>
              </w:rPr>
            </w:r>
            <w:r/>
          </w:p>
          <w:p>
            <w:pPr>
              <w:pStyle w:val="873"/>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（2）上述内容比较合理、具有可行性和操作性、与项日实际较为贴合的，每项得2分；</w:t>
            </w:r>
            <w:r>
              <w:rPr>
                <w:rFonts w:hint="eastAsia" w:ascii="宋体" w:hAnsi="宋体" w:cs="宋体"/>
                <w:color w:val="000000"/>
                <w:szCs w:val="21"/>
                <w:highlight w:val="none"/>
                <w:lang w:bidi="ar"/>
              </w:rPr>
            </w:r>
            <w:r/>
          </w:p>
          <w:p>
            <w:pPr>
              <w:pStyle w:val="873"/>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（3）上述内容基本合理、具有一定的可行性、具有一定的操作性、与项日实际基本贴合的，每项得1分；</w:t>
            </w:r>
            <w:r>
              <w:rPr>
                <w:rFonts w:hint="eastAsia" w:ascii="宋体" w:hAnsi="宋体" w:cs="宋体"/>
                <w:color w:val="000000"/>
                <w:szCs w:val="21"/>
                <w:highlight w:val="none"/>
                <w:lang w:bidi="ar"/>
              </w:rPr>
            </w:r>
            <w:r/>
          </w:p>
          <w:p>
            <w:pPr>
              <w:pStyle w:val="873"/>
              <w:rPr>
                <w:rFonts w:ascii="宋体" w:hAnsi="宋体" w:cs="宋体"/>
                <w:bCs/>
                <w:color w:val="000000"/>
                <w:szCs w:val="21"/>
                <w:highlight w:val="none"/>
              </w:rPr>
            </w:pPr>
            <w:r>
              <w:rPr>
                <w:rFonts w:hint="eastAsia" w:ascii="宋体" w:hAnsi="宋体" w:cs="宋体"/>
                <w:color w:val="000000"/>
                <w:szCs w:val="21"/>
                <w:highlight w:val="none"/>
                <w:lang w:bidi="ar"/>
              </w:rPr>
              <w:t xml:space="preserve">（4）上述每项内容完全脱离采购需求或未作完整叙述的不得分。</w:t>
            </w:r>
            <w:r>
              <w:rPr>
                <w:rFonts w:ascii="宋体" w:hAnsi="宋体" w:cs="宋体"/>
                <w:bCs/>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pacing w:val="-6"/>
                <w:szCs w:val="21"/>
                <w:highlight w:val="none"/>
              </w:rPr>
            </w:pPr>
            <w:r>
              <w:rPr>
                <w:rFonts w:hint="eastAsia" w:ascii="宋体" w:hAnsi="宋体" w:cs="宋体"/>
                <w:color w:val="000000"/>
                <w:szCs w:val="21"/>
                <w:highlight w:val="none"/>
                <w:lang w:bidi="ar"/>
              </w:rPr>
              <w:t xml:space="preserve">主观分</w:t>
            </w:r>
            <w:r>
              <w:rPr>
                <w:rFonts w:ascii="宋体" w:hAnsi="宋体" w:cs="宋体"/>
                <w:color w:val="000000"/>
                <w:spacing w:val="-6"/>
                <w:szCs w:val="21"/>
                <w:highlight w:val="none"/>
              </w:rPr>
            </w:r>
            <w:r/>
          </w:p>
        </w:tc>
      </w:tr>
      <w:tr>
        <w:trPr>
          <w:trHeight w:val="460"/>
        </w:trPr>
        <w:tc>
          <w:tcPr>
            <w:gridSpan w:val="5"/>
            <w:tcW w:w="9581" w:type="dxa"/>
            <w:vAlign w:val="center"/>
            <w:textDirection w:val="lrTb"/>
            <w:noWrap w:val="false"/>
          </w:tcPr>
          <w:p>
            <w:pPr>
              <w:pStyle w:val="873"/>
              <w:jc w:val="left"/>
              <w:rPr>
                <w:rFonts w:ascii="宋体" w:hAnsi="宋体" w:cs="宋体"/>
                <w:color w:val="000000"/>
                <w:szCs w:val="21"/>
                <w:highlight w:val="none"/>
              </w:rPr>
            </w:pPr>
            <w:r>
              <w:rPr>
                <w:rFonts w:hint="eastAsia" w:ascii="宋体" w:hAnsi="宋体" w:cs="宋体"/>
                <w:color w:val="000000"/>
                <w:szCs w:val="21"/>
                <w:highlight w:val="none"/>
              </w:rPr>
              <w:t xml:space="preserve">3、服务</w:t>
            </w:r>
            <w:r>
              <w:rPr>
                <w:rFonts w:ascii="宋体" w:hAnsi="宋体" w:cs="宋体"/>
                <w:color w:val="000000"/>
                <w:szCs w:val="21"/>
                <w:highlight w:val="none"/>
              </w:rPr>
            </w:r>
            <w:r/>
          </w:p>
        </w:tc>
      </w:tr>
      <w:tr>
        <w:trPr>
          <w:trHeight w:val="1062"/>
        </w:trPr>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4"/>
                <w:szCs w:val="21"/>
                <w:highlight w:val="none"/>
              </w:rPr>
              <w:t xml:space="preserve">3</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w:t>
            </w:r>
            <w:r>
              <w:rPr>
                <w:rFonts w:ascii="宋体" w:hAnsi="宋体" w:cs="宋体"/>
                <w:color w:val="000000"/>
                <w:szCs w:val="21"/>
                <w:highlight w:val="none"/>
              </w:rPr>
            </w:r>
            <w:r/>
          </w:p>
        </w:tc>
        <w:tc>
          <w:tcPr>
            <w:tcW w:w="1289" w:type="dxa"/>
            <w:vAlign w:val="center"/>
            <w:textDirection w:val="lrTb"/>
            <w:noWrap w:val="false"/>
          </w:tcPr>
          <w:p>
            <w:pPr>
              <w:pStyle w:val="873"/>
              <w:jc w:val="center"/>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项目负责人</w:t>
            </w:r>
            <w:r>
              <w:rPr>
                <w:rFonts w:ascii="宋体" w:hAnsi="宋体" w:cs="宋体"/>
                <w:color w:val="000000"/>
                <w:spacing w:val="-2"/>
                <w:szCs w:val="21"/>
                <w:highlight w:val="none"/>
              </w:rPr>
            </w:r>
            <w:r/>
          </w:p>
          <w:p>
            <w:pPr>
              <w:pStyle w:val="873"/>
              <w:jc w:val="center"/>
              <w:rPr>
                <w:rFonts w:ascii="宋体" w:hAnsi="宋体" w:cs="宋体"/>
                <w:color w:val="000000"/>
                <w:szCs w:val="21"/>
                <w:highlight w:val="none"/>
              </w:rPr>
            </w:pPr>
            <w:r>
              <w:rPr>
                <w:rFonts w:hint="eastAsia" w:ascii="宋体" w:hAnsi="宋体" w:cs="宋体"/>
                <w:color w:val="000000"/>
                <w:spacing w:val="-2"/>
                <w:szCs w:val="21"/>
                <w:highlight w:val="none"/>
              </w:rPr>
              <w:t xml:space="preserve">能力</w:t>
            </w:r>
            <w:r>
              <w:rPr>
                <w:rFonts w:ascii="宋体" w:hAnsi="宋体" w:cs="宋体"/>
                <w:color w:val="000000"/>
                <w:szCs w:val="21"/>
                <w:highlight w:val="none"/>
              </w:rPr>
            </w:r>
            <w:r/>
          </w:p>
        </w:tc>
        <w:tc>
          <w:tcPr>
            <w:tcW w:w="6373" w:type="dxa"/>
            <w:vAlign w:val="center"/>
            <w:textDirection w:val="lrTb"/>
            <w:noWrap w:val="false"/>
          </w:tcPr>
          <w:p>
            <w:pPr>
              <w:pStyle w:val="873"/>
              <w:rPr>
                <w:rFonts w:ascii="宋体" w:hAnsi="宋体" w:cs="宋体"/>
                <w:color w:val="000000"/>
                <w:szCs w:val="21"/>
                <w:highlight w:val="none"/>
              </w:rPr>
            </w:pPr>
            <w:r>
              <w:rPr>
                <w:rFonts w:hint="eastAsia" w:ascii="宋体" w:hAnsi="宋体" w:cs="宋体"/>
                <w:color w:val="000000"/>
                <w:szCs w:val="21"/>
                <w:highlight w:val="none"/>
              </w:rPr>
              <w:t xml:space="preserve">项目负责人具有正高级工程师职称证书（土地或测绘类）、城乡规划师证书的，每提供一类得3分，最多得6分。</w:t>
            </w:r>
            <w:r>
              <w:rPr>
                <w:rFonts w:ascii="宋体" w:hAnsi="宋体" w:cs="宋体"/>
                <w:color w:val="000000"/>
                <w:szCs w:val="21"/>
                <w:highlight w:val="none"/>
              </w:rPr>
            </w:r>
            <w:r/>
          </w:p>
          <w:p>
            <w:pPr>
              <w:pStyle w:val="873"/>
              <w:rPr>
                <w:rFonts w:ascii="宋体" w:hAnsi="宋体" w:cs="宋体"/>
                <w:color w:val="000000"/>
                <w:szCs w:val="21"/>
                <w:highlight w:val="none"/>
              </w:rPr>
            </w:pPr>
            <w:r>
              <w:rPr>
                <w:rFonts w:hint="eastAsia" w:ascii="宋体" w:hAnsi="宋体" w:cs="宋体"/>
                <w:color w:val="000000"/>
                <w:szCs w:val="21"/>
                <w:highlight w:val="none"/>
              </w:rPr>
              <w:t xml:space="preserve">（提供证书及投标人为其缴纳的2025年以来任意一个月的社保证明）</w:t>
            </w:r>
            <w:r>
              <w:rPr>
                <w:rFonts w:ascii="宋体" w:hAnsi="宋体" w:cs="宋体"/>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zCs w:val="21"/>
                <w:highlight w:val="none"/>
              </w:rPr>
            </w:r>
            <w:r/>
          </w:p>
        </w:tc>
      </w:tr>
      <w:tr>
        <w:trPr>
          <w:trHeight w:val="531"/>
        </w:trPr>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4"/>
                <w:szCs w:val="21"/>
                <w:highlight w:val="none"/>
              </w:rPr>
              <w:t xml:space="preserve">3</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w:t>
            </w:r>
            <w:r>
              <w:rPr>
                <w:rFonts w:ascii="宋体" w:hAnsi="宋体" w:cs="宋体"/>
                <w:color w:val="000000"/>
                <w:szCs w:val="21"/>
                <w:highlight w:val="none"/>
              </w:rPr>
            </w:r>
            <w:r/>
          </w:p>
        </w:tc>
        <w:tc>
          <w:tcPr>
            <w:tcW w:w="128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技术负责人</w:t>
            </w:r>
            <w:r>
              <w:rPr>
                <w:rFonts w:ascii="宋体" w:hAnsi="宋体" w:cs="宋体"/>
                <w:color w:val="000000"/>
                <w:szCs w:val="21"/>
                <w:highlight w:val="none"/>
              </w:rPr>
            </w:r>
            <w:r/>
          </w:p>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能力</w:t>
            </w:r>
            <w:r>
              <w:rPr>
                <w:rFonts w:ascii="宋体" w:hAnsi="宋体" w:cs="宋体"/>
                <w:color w:val="000000"/>
                <w:szCs w:val="21"/>
                <w:highlight w:val="none"/>
              </w:rPr>
            </w:r>
            <w:r/>
          </w:p>
        </w:tc>
        <w:tc>
          <w:tcPr>
            <w:tcW w:w="6373" w:type="dxa"/>
            <w:vAlign w:val="center"/>
            <w:textDirection w:val="lrTb"/>
            <w:noWrap w:val="false"/>
          </w:tcPr>
          <w:p>
            <w:pPr>
              <w:pStyle w:val="873"/>
              <w:rPr>
                <w:rFonts w:ascii="宋体" w:hAnsi="宋体" w:cs="宋体"/>
                <w:color w:val="000000"/>
                <w:szCs w:val="21"/>
                <w:highlight w:val="none"/>
              </w:rPr>
            </w:pPr>
            <w:r>
              <w:rPr>
                <w:rFonts w:hint="eastAsia" w:ascii="宋体" w:hAnsi="宋体" w:cs="宋体"/>
                <w:color w:val="000000"/>
                <w:szCs w:val="21"/>
                <w:highlight w:val="none"/>
              </w:rPr>
              <w:t xml:space="preserve">技术负责人具有信息系统项目管理师（高级）、系统架构设计师（高级）证书的，每提供一类得3分，最多得6分。</w:t>
            </w:r>
            <w:r>
              <w:rPr>
                <w:rFonts w:ascii="宋体" w:hAnsi="宋体" w:cs="宋体"/>
                <w:color w:val="000000"/>
                <w:szCs w:val="21"/>
                <w:highlight w:val="none"/>
              </w:rPr>
            </w:r>
            <w:r/>
          </w:p>
          <w:p>
            <w:pPr>
              <w:pStyle w:val="873"/>
              <w:rPr>
                <w:rFonts w:ascii="宋体" w:hAnsi="宋体" w:cs="宋体"/>
                <w:color w:val="000000"/>
                <w:szCs w:val="21"/>
                <w:highlight w:val="none"/>
              </w:rPr>
            </w:pPr>
            <w:r>
              <w:rPr>
                <w:rFonts w:hint="eastAsia" w:ascii="宋体" w:hAnsi="宋体" w:cs="宋体"/>
                <w:color w:val="000000"/>
                <w:szCs w:val="21"/>
                <w:highlight w:val="none"/>
              </w:rPr>
              <w:t xml:space="preserve">（提供证书及投标人为其缴纳的2025年以来任意一个月的社保证明）</w:t>
            </w:r>
            <w:r>
              <w:rPr>
                <w:rFonts w:ascii="宋体" w:hAnsi="宋体" w:cs="宋体"/>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zCs w:val="21"/>
                <w:highlight w:val="none"/>
              </w:rPr>
            </w:r>
            <w:r/>
          </w:p>
        </w:tc>
      </w:tr>
      <w:tr>
        <w:trPr>
          <w:trHeight w:val="2584"/>
        </w:trPr>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4"/>
                <w:szCs w:val="21"/>
                <w:highlight w:val="none"/>
              </w:rPr>
              <w:t xml:space="preserve">3</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3</w:t>
            </w:r>
            <w:r>
              <w:rPr>
                <w:rFonts w:ascii="宋体" w:hAnsi="宋体" w:cs="宋体"/>
                <w:color w:val="000000"/>
                <w:szCs w:val="21"/>
                <w:highlight w:val="none"/>
              </w:rPr>
            </w:r>
            <w:r/>
          </w:p>
        </w:tc>
        <w:tc>
          <w:tcPr>
            <w:tcW w:w="128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2"/>
                <w:szCs w:val="21"/>
                <w:highlight w:val="none"/>
              </w:rPr>
              <w:t xml:space="preserve">项目实施人员能力</w:t>
            </w:r>
            <w:r>
              <w:rPr>
                <w:rFonts w:ascii="宋体" w:hAnsi="宋体" w:cs="宋体"/>
                <w:color w:val="000000"/>
                <w:szCs w:val="21"/>
                <w:highlight w:val="none"/>
              </w:rPr>
            </w:r>
            <w:r/>
          </w:p>
        </w:tc>
        <w:tc>
          <w:tcPr>
            <w:tcW w:w="6373" w:type="dxa"/>
            <w:vAlign w:val="center"/>
            <w:textDirection w:val="lrTb"/>
            <w:noWrap w:val="false"/>
          </w:tcPr>
          <w:p>
            <w:pPr>
              <w:pStyle w:val="873"/>
              <w:rPr>
                <w:rFonts w:ascii="宋体" w:hAnsi="宋体" w:cs="宋体"/>
                <w:color w:val="000000"/>
                <w:szCs w:val="21"/>
                <w:highlight w:val="none"/>
              </w:rPr>
            </w:pPr>
            <w:r>
              <w:rPr>
                <w:rFonts w:hint="eastAsia" w:ascii="宋体" w:hAnsi="宋体" w:cs="宋体"/>
                <w:color w:val="000000"/>
                <w:szCs w:val="21"/>
                <w:highlight w:val="none"/>
              </w:rPr>
              <w:t xml:space="preserve">项目实施人员（项目负责人、技术负责人除外）具有以下证书：</w:t>
            </w:r>
            <w:r>
              <w:rPr>
                <w:rFonts w:ascii="宋体" w:hAnsi="宋体" w:cs="宋体"/>
                <w:color w:val="000000"/>
                <w:szCs w:val="21"/>
                <w:highlight w:val="none"/>
              </w:rPr>
            </w:r>
            <w:r/>
          </w:p>
          <w:p>
            <w:pPr>
              <w:pStyle w:val="873"/>
              <w:jc w:val="left"/>
              <w:widowControl/>
              <w:rPr>
                <w:color w:val="000000"/>
                <w:highlight w:val="none"/>
              </w:rPr>
            </w:pPr>
            <w:r>
              <w:rPr>
                <w:rFonts w:hint="eastAsia" w:ascii="宋体" w:hAnsi="宋体" w:cs="宋体"/>
                <w:color w:val="000000"/>
                <w:szCs w:val="21"/>
                <w:highlight w:val="none"/>
                <w:lang w:bidi="ar"/>
              </w:rPr>
              <w:t xml:space="preserve">（1）具有土地或测绘类中级及以上工程师职称证书的，每提供一 </w:t>
            </w:r>
            <w:r>
              <w:rPr>
                <w:color w:val="000000"/>
                <w:highlight w:val="none"/>
              </w:rPr>
            </w:r>
            <w:r/>
          </w:p>
          <w:p>
            <w:pPr>
              <w:pStyle w:val="873"/>
              <w:jc w:val="left"/>
              <w:widowControl/>
              <w:rPr>
                <w:color w:val="000000"/>
                <w:highlight w:val="none"/>
              </w:rPr>
            </w:pPr>
            <w:r>
              <w:rPr>
                <w:rFonts w:hint="eastAsia" w:ascii="宋体" w:hAnsi="宋体" w:cs="宋体"/>
                <w:color w:val="000000"/>
                <w:szCs w:val="21"/>
                <w:highlight w:val="none"/>
                <w:lang w:bidi="ar"/>
              </w:rPr>
              <w:t xml:space="preserve">人得2分，最高得6分。 </w:t>
            </w:r>
            <w:r>
              <w:rPr>
                <w:color w:val="000000"/>
                <w:highlight w:val="none"/>
              </w:rPr>
            </w:r>
            <w:r/>
          </w:p>
          <w:p>
            <w:pPr>
              <w:pStyle w:val="873"/>
              <w:jc w:val="left"/>
              <w:widowControl/>
              <w:rPr>
                <w:color w:val="000000"/>
                <w:highlight w:val="none"/>
              </w:rPr>
            </w:pPr>
            <w:r>
              <w:rPr>
                <w:rFonts w:hint="eastAsia" w:ascii="宋体" w:hAnsi="宋体" w:cs="宋体"/>
                <w:color w:val="000000"/>
                <w:szCs w:val="21"/>
                <w:highlight w:val="none"/>
                <w:lang w:bidi="ar"/>
              </w:rPr>
              <w:t xml:space="preserve">（2）具有注册测绘师证书的，每提供一人得2分，最高得4分。 </w:t>
            </w:r>
            <w:r>
              <w:rPr>
                <w:color w:val="000000"/>
                <w:highlight w:val="none"/>
              </w:rPr>
            </w:r>
            <w:r/>
          </w:p>
          <w:p>
            <w:pPr>
              <w:pStyle w:val="873"/>
              <w:jc w:val="left"/>
              <w:widowControl/>
              <w:rPr>
                <w:color w:val="000000"/>
                <w:highlight w:val="none"/>
              </w:rPr>
            </w:pPr>
            <w:r>
              <w:rPr>
                <w:rFonts w:hint="eastAsia" w:ascii="宋体" w:hAnsi="宋体" w:cs="宋体"/>
                <w:color w:val="000000"/>
                <w:szCs w:val="21"/>
                <w:highlight w:val="none"/>
                <w:lang w:bidi="ar"/>
              </w:rPr>
              <w:t xml:space="preserve">（3）具有数据库管理员证书的，每提供一人得2分，最高得 </w:t>
            </w:r>
            <w:r>
              <w:rPr>
                <w:color w:val="000000"/>
                <w:highlight w:val="none"/>
              </w:rPr>
            </w:r>
            <w:r/>
          </w:p>
          <w:p>
            <w:pPr>
              <w:pStyle w:val="873"/>
              <w:jc w:val="left"/>
              <w:widowControl/>
              <w:rPr>
                <w:color w:val="000000"/>
                <w:highlight w:val="none"/>
              </w:rPr>
            </w:pPr>
            <w:r>
              <w:rPr>
                <w:rFonts w:hint="eastAsia" w:ascii="宋体" w:hAnsi="宋体" w:cs="宋体"/>
                <w:color w:val="000000"/>
                <w:szCs w:val="21"/>
                <w:highlight w:val="none"/>
                <w:lang w:bidi="ar"/>
              </w:rPr>
              <w:t xml:space="preserve">2分。 </w:t>
            </w:r>
            <w:r>
              <w:rPr>
                <w:color w:val="000000"/>
                <w:highlight w:val="none"/>
              </w:rPr>
            </w:r>
            <w:r/>
          </w:p>
          <w:p>
            <w:pPr>
              <w:pStyle w:val="873"/>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注：本项最多12分，同一人员不可重复得分。须提供人员证书及供应商为其缴纳的</w:t>
            </w:r>
            <w:r>
              <w:rPr>
                <w:rFonts w:hint="eastAsia" w:ascii="宋体" w:hAnsi="宋体" w:cs="宋体"/>
                <w:color w:val="000000"/>
                <w:szCs w:val="21"/>
                <w:highlight w:val="none"/>
              </w:rPr>
              <w:t xml:space="preserve">2025年</w:t>
            </w:r>
            <w:r>
              <w:rPr>
                <w:rFonts w:hint="eastAsia" w:ascii="宋体" w:hAnsi="宋体" w:cs="宋体"/>
                <w:color w:val="000000"/>
                <w:szCs w:val="21"/>
                <w:highlight w:val="none"/>
                <w:lang w:bidi="ar"/>
              </w:rPr>
              <w:t xml:space="preserve">以来任意一个月的社保缴费证明材料，证明材料缺项或未提供的不得分。</w:t>
            </w:r>
            <w:r>
              <w:rPr>
                <w:rFonts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zCs w:val="21"/>
                <w:highlight w:val="none"/>
              </w:rPr>
            </w:r>
            <w:r/>
          </w:p>
        </w:tc>
      </w:tr>
      <w:tr>
        <w:trPr>
          <w:trHeight w:val="549"/>
        </w:trPr>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4"/>
                <w:szCs w:val="21"/>
                <w:highlight w:val="none"/>
              </w:rPr>
              <w:t xml:space="preserve">3</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4</w:t>
            </w:r>
            <w:r>
              <w:rPr>
                <w:rFonts w:ascii="宋体" w:hAnsi="宋体" w:cs="宋体"/>
                <w:color w:val="000000"/>
                <w:szCs w:val="21"/>
                <w:highlight w:val="none"/>
              </w:rPr>
            </w:r>
            <w:r/>
          </w:p>
        </w:tc>
        <w:tc>
          <w:tcPr>
            <w:tcW w:w="128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2"/>
                <w:szCs w:val="21"/>
                <w:highlight w:val="none"/>
              </w:rPr>
              <w:t xml:space="preserve">本地化</w:t>
            </w:r>
            <w:r>
              <w:rPr>
                <w:rFonts w:hint="eastAsia" w:ascii="宋体" w:hAnsi="宋体" w:cs="宋体"/>
                <w:color w:val="000000"/>
                <w:spacing w:val="-1"/>
                <w:szCs w:val="21"/>
                <w:highlight w:val="none"/>
              </w:rPr>
              <w:t xml:space="preserve">服务</w:t>
            </w:r>
            <w:r>
              <w:rPr>
                <w:rFonts w:hint="eastAsia" w:ascii="宋体" w:hAnsi="宋体" w:cs="宋体"/>
                <w:color w:val="000000"/>
                <w:szCs w:val="21"/>
                <w:highlight w:val="none"/>
              </w:rPr>
              <w:t xml:space="preserve"> </w:t>
            </w:r>
            <w:r>
              <w:rPr>
                <w:rFonts w:hint="eastAsia" w:ascii="宋体" w:hAnsi="宋体" w:cs="宋体"/>
                <w:color w:val="000000"/>
                <w:spacing w:val="-4"/>
                <w:szCs w:val="21"/>
                <w:highlight w:val="none"/>
              </w:rPr>
              <w:t xml:space="preserve">能力</w:t>
            </w:r>
            <w:r>
              <w:rPr>
                <w:rFonts w:ascii="宋体" w:hAnsi="宋体" w:cs="宋体"/>
                <w:color w:val="000000"/>
                <w:szCs w:val="21"/>
                <w:highlight w:val="none"/>
              </w:rPr>
            </w:r>
            <w:r/>
          </w:p>
        </w:tc>
        <w:tc>
          <w:tcPr>
            <w:tcW w:w="6373" w:type="dxa"/>
            <w:vAlign w:val="center"/>
            <w:textDirection w:val="lrTb"/>
            <w:noWrap w:val="false"/>
          </w:tcPr>
          <w:p>
            <w:pPr>
              <w:pStyle w:val="873"/>
              <w:rPr>
                <w:rFonts w:ascii="宋体" w:hAnsi="宋体" w:cs="宋体"/>
                <w:color w:val="000000"/>
                <w:szCs w:val="21"/>
                <w:highlight w:val="none"/>
              </w:rPr>
            </w:pPr>
            <w:r>
              <w:rPr>
                <w:rFonts w:hint="eastAsia" w:ascii="宋体" w:hAnsi="宋体" w:cs="宋体"/>
                <w:color w:val="000000"/>
                <w:szCs w:val="21"/>
                <w:highlight w:val="none"/>
              </w:rPr>
              <w:t xml:space="preserve">投标人具有本地化服务能力的得2分（提供书面承诺或有效证明材料）。</w:t>
            </w:r>
            <w:r>
              <w:rPr>
                <w:rFonts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zCs w:val="21"/>
                <w:highlight w:val="none"/>
              </w:rPr>
            </w:r>
            <w:r/>
          </w:p>
        </w:tc>
      </w:tr>
      <w:tr>
        <w:trPr>
          <w:trHeight w:val="460"/>
        </w:trPr>
        <w:tc>
          <w:tcPr>
            <w:gridSpan w:val="5"/>
            <w:tcW w:w="9581" w:type="dxa"/>
            <w:vAlign w:val="center"/>
            <w:textDirection w:val="lrTb"/>
            <w:noWrap w:val="false"/>
          </w:tcPr>
          <w:p>
            <w:pPr>
              <w:pStyle w:val="873"/>
              <w:jc w:val="left"/>
              <w:rPr>
                <w:rFonts w:ascii="宋体" w:hAnsi="宋体" w:cs="宋体"/>
                <w:color w:val="000000"/>
                <w:szCs w:val="21"/>
                <w:highlight w:val="none"/>
              </w:rPr>
            </w:pPr>
            <w:r>
              <w:rPr>
                <w:rFonts w:hint="eastAsia" w:ascii="宋体" w:hAnsi="宋体" w:cs="宋体"/>
                <w:color w:val="000000"/>
                <w:szCs w:val="21"/>
                <w:highlight w:val="none"/>
              </w:rPr>
              <w:t xml:space="preserve">4、业绩</w:t>
            </w:r>
            <w:r>
              <w:rPr>
                <w:rFonts w:ascii="宋体" w:hAnsi="宋体" w:cs="宋体"/>
                <w:color w:val="000000"/>
                <w:szCs w:val="21"/>
                <w:highlight w:val="none"/>
              </w:rPr>
            </w:r>
            <w:r/>
          </w:p>
        </w:tc>
      </w:tr>
      <w:tr>
        <w:trPr>
          <w:trHeight w:val="1145"/>
        </w:trPr>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2"/>
                <w:szCs w:val="21"/>
                <w:highlight w:val="none"/>
              </w:rPr>
              <w:t xml:space="preserve">4.</w:t>
            </w:r>
            <w:r>
              <w:rPr>
                <w:rFonts w:hint="eastAsia" w:ascii="宋体" w:hAnsi="宋体" w:cs="宋体"/>
                <w:color w:val="000000"/>
                <w:spacing w:val="-1"/>
                <w:szCs w:val="21"/>
                <w:highlight w:val="none"/>
              </w:rPr>
              <w:t xml:space="preserve">1</w:t>
            </w:r>
            <w:r>
              <w:rPr>
                <w:rFonts w:ascii="宋体" w:hAnsi="宋体" w:cs="宋体"/>
                <w:color w:val="000000"/>
                <w:szCs w:val="21"/>
                <w:highlight w:val="none"/>
              </w:rPr>
            </w:r>
            <w:r/>
          </w:p>
        </w:tc>
        <w:tc>
          <w:tcPr>
            <w:tcW w:w="128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8"/>
                <w:szCs w:val="21"/>
                <w:highlight w:val="none"/>
              </w:rPr>
              <w:t xml:space="preserve">业</w:t>
            </w:r>
            <w:r>
              <w:rPr>
                <w:rFonts w:hint="eastAsia" w:ascii="宋体" w:hAnsi="宋体" w:cs="宋体"/>
                <w:color w:val="000000"/>
                <w:spacing w:val="-7"/>
                <w:szCs w:val="21"/>
                <w:highlight w:val="none"/>
              </w:rPr>
              <w:t xml:space="preserve">绩</w:t>
            </w:r>
            <w:r>
              <w:rPr>
                <w:rFonts w:ascii="宋体" w:hAnsi="宋体" w:cs="宋体"/>
                <w:color w:val="000000"/>
                <w:szCs w:val="21"/>
                <w:highlight w:val="none"/>
              </w:rPr>
            </w:r>
            <w:r/>
          </w:p>
        </w:tc>
        <w:tc>
          <w:tcPr>
            <w:tcW w:w="6373" w:type="dxa"/>
            <w:vAlign w:val="center"/>
            <w:textDirection w:val="lrTb"/>
            <w:noWrap w:val="false"/>
          </w:tcPr>
          <w:p>
            <w:pPr>
              <w:pStyle w:val="873"/>
              <w:jc w:val="left"/>
              <w:widowControl/>
              <w:rPr>
                <w:color w:val="000000"/>
                <w:highlight w:val="none"/>
              </w:rPr>
            </w:pPr>
            <w:r>
              <w:rPr>
                <w:rFonts w:hint="eastAsia" w:ascii="宋体" w:hAnsi="宋体" w:cs="宋体"/>
                <w:color w:val="000000"/>
                <w:szCs w:val="21"/>
                <w:highlight w:val="none"/>
                <w:lang w:bidi="ar"/>
              </w:rPr>
              <w:t xml:space="preserve">供应商提供自2022 年1月1日以来（以合同签订时间为准）承接 </w:t>
            </w:r>
            <w:r>
              <w:rPr>
                <w:color w:val="000000"/>
                <w:highlight w:val="none"/>
              </w:rPr>
            </w:r>
            <w:r/>
          </w:p>
          <w:p>
            <w:pPr>
              <w:pStyle w:val="873"/>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的类似项目案例（如规划类、自然资源类、土地类、国土类、测绘类等数据治理或数据服务），每提供1个得3分，同一项目不重复得分，最多9 分。（提供合同，合同须能反映项目名称、主要标的物，签订时间和签章清晰可见）</w:t>
            </w:r>
            <w:r>
              <w:rPr>
                <w:rFonts w:ascii="宋体" w:hAnsi="宋体" w:cs="宋体"/>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zCs w:val="21"/>
                <w:highlight w:val="none"/>
              </w:rPr>
            </w:r>
            <w:r/>
          </w:p>
        </w:tc>
      </w:tr>
      <w:tr>
        <w:trPr>
          <w:trHeight w:val="460"/>
        </w:trPr>
        <w:tc>
          <w:tcPr>
            <w:gridSpan w:val="5"/>
            <w:tcW w:w="9581" w:type="dxa"/>
            <w:vAlign w:val="center"/>
            <w:textDirection w:val="lrTb"/>
            <w:noWrap w:val="false"/>
          </w:tcPr>
          <w:p>
            <w:pPr>
              <w:pStyle w:val="873"/>
              <w:jc w:val="left"/>
              <w:rPr>
                <w:rFonts w:ascii="宋体" w:hAnsi="宋体" w:cs="宋体"/>
                <w:color w:val="000000"/>
                <w:szCs w:val="21"/>
                <w:highlight w:val="none"/>
              </w:rPr>
            </w:pPr>
            <w:r>
              <w:rPr>
                <w:rFonts w:hint="eastAsia" w:ascii="宋体" w:hAnsi="宋体" w:cs="宋体"/>
                <w:color w:val="000000"/>
                <w:szCs w:val="21"/>
                <w:highlight w:val="none"/>
              </w:rPr>
              <w:t xml:space="preserve">5、履约能力 </w:t>
            </w:r>
            <w:r>
              <w:rPr>
                <w:rFonts w:ascii="宋体" w:hAnsi="宋体" w:cs="宋体"/>
                <w:color w:val="000000"/>
                <w:szCs w:val="21"/>
                <w:highlight w:val="none"/>
              </w:rPr>
            </w:r>
            <w:r/>
          </w:p>
        </w:tc>
      </w:tr>
      <w:tr>
        <w:trPr>
          <w:trHeight w:val="549"/>
        </w:trPr>
        <w:tc>
          <w:tcPr>
            <w:tcW w:w="637" w:type="dxa"/>
            <w:vAlign w:val="center"/>
            <w:textDirection w:val="lrTb"/>
            <w:noWrap w:val="false"/>
          </w:tcPr>
          <w:p>
            <w:pPr>
              <w:pStyle w:val="873"/>
              <w:jc w:val="center"/>
              <w:rPr>
                <w:rFonts w:hint="eastAsia" w:ascii="宋体" w:hAnsi="宋体" w:cs="宋体"/>
                <w:color w:val="000000"/>
                <w:spacing w:val="-4"/>
                <w:szCs w:val="21"/>
                <w:highlight w:val="none"/>
              </w:rPr>
            </w:pPr>
            <w:r>
              <w:rPr>
                <w:rFonts w:hint="eastAsia" w:ascii="宋体" w:hAnsi="宋体" w:cs="宋体"/>
                <w:color w:val="000000"/>
                <w:spacing w:val="-4"/>
                <w:szCs w:val="21"/>
                <w:highlight w:val="none"/>
              </w:rPr>
              <w:t xml:space="preserve">5.1</w:t>
            </w:r>
            <w:r>
              <w:rPr>
                <w:rFonts w:hint="eastAsia" w:ascii="宋体" w:hAnsi="宋体" w:cs="宋体"/>
                <w:color w:val="000000"/>
                <w:spacing w:val="-4"/>
                <w:szCs w:val="21"/>
                <w:highlight w:val="none"/>
              </w:rPr>
            </w:r>
            <w:r/>
          </w:p>
        </w:tc>
        <w:tc>
          <w:tcPr>
            <w:tcW w:w="1289" w:type="dxa"/>
            <w:vAlign w:val="center"/>
            <w:textDirection w:val="lrTb"/>
            <w:noWrap w:val="false"/>
          </w:tcPr>
          <w:p>
            <w:pPr>
              <w:pStyle w:val="873"/>
              <w:jc w:val="center"/>
              <w:rPr>
                <w:rFonts w:hint="eastAsia" w:ascii="宋体" w:hAnsi="宋体" w:cs="宋体"/>
                <w:color w:val="000000"/>
                <w:spacing w:val="-8"/>
                <w:szCs w:val="21"/>
                <w:highlight w:val="none"/>
              </w:rPr>
            </w:pPr>
            <w:r>
              <w:rPr>
                <w:rFonts w:hint="eastAsia" w:ascii="宋体" w:hAnsi="宋体" w:cs="宋体"/>
                <w:color w:val="000000"/>
                <w:spacing w:val="-8"/>
                <w:szCs w:val="21"/>
                <w:highlight w:val="none"/>
              </w:rPr>
              <w:t xml:space="preserve">履</w:t>
            </w:r>
            <w:r>
              <w:rPr>
                <w:rFonts w:hint="eastAsia" w:ascii="宋体" w:hAnsi="宋体" w:cs="宋体"/>
                <w:color w:val="000000"/>
                <w:spacing w:val="-7"/>
                <w:szCs w:val="21"/>
                <w:highlight w:val="none"/>
              </w:rPr>
              <w:t xml:space="preserve">约能力1</w:t>
            </w:r>
            <w:r>
              <w:rPr>
                <w:rFonts w:hint="eastAsia" w:ascii="宋体" w:hAnsi="宋体" w:cs="宋体"/>
                <w:color w:val="000000"/>
                <w:spacing w:val="-8"/>
                <w:szCs w:val="21"/>
                <w:highlight w:val="none"/>
              </w:rPr>
            </w:r>
            <w:r/>
          </w:p>
        </w:tc>
        <w:tc>
          <w:tcPr>
            <w:tcW w:w="6373" w:type="dxa"/>
            <w:vAlign w:val="center"/>
            <w:textDirection w:val="lrTb"/>
            <w:noWrap w:val="false"/>
          </w:tcPr>
          <w:p>
            <w:pPr>
              <w:pStyle w:val="873"/>
              <w:jc w:val="left"/>
              <w:widowControl/>
              <w:rPr>
                <w:color w:val="000000"/>
                <w:highlight w:val="none"/>
              </w:rPr>
            </w:pPr>
            <w:r>
              <w:rPr>
                <w:rFonts w:hint="eastAsia" w:ascii="宋体" w:hAnsi="宋体" w:cs="宋体"/>
                <w:color w:val="000000"/>
                <w:szCs w:val="21"/>
                <w:highlight w:val="none"/>
                <w:lang w:bidi="ar"/>
              </w:rPr>
              <w:t xml:space="preserve">供应商具有规划和自然资源类软件著作权证书，得4分。 </w:t>
            </w:r>
            <w:r>
              <w:rPr>
                <w:color w:val="000000"/>
                <w:highlight w:val="none"/>
              </w:rPr>
            </w:r>
            <w:r/>
          </w:p>
          <w:p>
            <w:pPr>
              <w:pStyle w:val="873"/>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备注：所提供证书“软件名称”与评分标准给定名称不同时，应提供符合上述要求的内容（功能）说明及关键信息，否则不予认可。</w:t>
            </w:r>
            <w:r>
              <w:rPr>
                <w:rFonts w:ascii="宋体" w:hAnsi="宋体" w:cs="宋体"/>
                <w:color w:val="000000"/>
                <w:szCs w:val="21"/>
                <w:highlight w:val="none"/>
              </w:rPr>
            </w:r>
            <w:r/>
          </w:p>
        </w:tc>
        <w:tc>
          <w:tcPr>
            <w:tcW w:w="645"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637" w:type="dxa"/>
            <w:vAlign w:val="center"/>
            <w:textDirection w:val="lrTb"/>
            <w:noWrap w:val="false"/>
          </w:tcPr>
          <w:p>
            <w:pPr>
              <w:pStyle w:val="873"/>
              <w:jc w:val="center"/>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w:t>
            </w:r>
            <w:r>
              <w:rPr>
                <w:rFonts w:hint="eastAsia" w:ascii="宋体" w:hAnsi="宋体" w:cs="宋体"/>
                <w:color w:val="000000"/>
                <w:szCs w:val="21"/>
                <w:highlight w:val="none"/>
              </w:rPr>
              <w:t xml:space="preserve"> 分</w:t>
            </w:r>
            <w:r>
              <w:rPr>
                <w:rFonts w:ascii="宋体" w:hAnsi="宋体" w:cs="宋体"/>
                <w:color w:val="000000"/>
                <w:spacing w:val="-6"/>
                <w:szCs w:val="21"/>
                <w:highlight w:val="none"/>
              </w:rPr>
            </w:r>
            <w:r/>
          </w:p>
        </w:tc>
      </w:tr>
      <w:tr>
        <w:trPr>
          <w:trHeight w:val="549"/>
        </w:trPr>
        <w:tc>
          <w:tcPr>
            <w:gridSpan w:val="2"/>
            <w:tcW w:w="1926"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合计</w:t>
            </w:r>
            <w:r>
              <w:rPr>
                <w:rFonts w:ascii="宋体" w:hAnsi="宋体" w:cs="宋体"/>
                <w:color w:val="000000"/>
                <w:szCs w:val="21"/>
                <w:highlight w:val="none"/>
              </w:rPr>
            </w:r>
            <w:r/>
          </w:p>
        </w:tc>
        <w:tc>
          <w:tcPr>
            <w:tcW w:w="6373" w:type="dxa"/>
            <w:vAlign w:val="center"/>
            <w:textDirection w:val="lrTb"/>
            <w:noWrap w:val="false"/>
          </w:tcPr>
          <w:p>
            <w:pPr>
              <w:pStyle w:val="873"/>
              <w:rPr>
                <w:rFonts w:ascii="宋体" w:hAnsi="宋体" w:cs="宋体"/>
                <w:color w:val="000000"/>
                <w:szCs w:val="21"/>
                <w:highlight w:val="none"/>
              </w:rPr>
            </w:pPr>
            <w:r>
              <w:rPr>
                <w:rFonts w:ascii="宋体" w:hAnsi="宋体" w:cs="宋体"/>
                <w:color w:val="000000"/>
                <w:szCs w:val="21"/>
                <w:highlight w:val="none"/>
              </w:rPr>
            </w:r>
            <w:r/>
          </w:p>
        </w:tc>
        <w:tc>
          <w:tcPr>
            <w:gridSpan w:val="2"/>
            <w:tcW w:w="1282"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cs="宋体"/>
                <w:color w:val="000000"/>
                <w:szCs w:val="21"/>
                <w:highlight w:val="none"/>
              </w:rPr>
              <w:t xml:space="preserve">100分</w:t>
            </w:r>
            <w:r>
              <w:rPr>
                <w:rFonts w:ascii="宋体" w:hAnsi="宋体" w:cs="宋体"/>
                <w:color w:val="000000"/>
                <w:szCs w:val="21"/>
                <w:highlight w:val="none"/>
              </w:rPr>
            </w:r>
            <w:r/>
          </w:p>
        </w:tc>
      </w:tr>
    </w:tbl>
    <w:p>
      <w:pPr>
        <w:pStyle w:val="873"/>
        <w:rPr>
          <w:color w:val="000000"/>
          <w:highlight w:val="none"/>
        </w:rPr>
      </w:pPr>
      <w:r>
        <w:rPr>
          <w:color w:val="000000"/>
          <w:highlight w:val="none"/>
        </w:rPr>
      </w:r>
      <w:r/>
    </w:p>
    <w:p>
      <w:pPr>
        <w:pStyle w:val="873"/>
        <w:rPr>
          <w:color w:val="000000"/>
          <w:highlight w:val="none"/>
        </w:rPr>
      </w:pPr>
      <w:r>
        <w:rPr>
          <w:color w:val="000000"/>
          <w:highlight w:val="none"/>
        </w:rPr>
      </w:r>
      <w:r/>
    </w:p>
    <w:p>
      <w:pPr>
        <w:pStyle w:val="873"/>
        <w:rPr>
          <w:color w:val="000000"/>
          <w:highlight w:val="none"/>
        </w:rPr>
      </w:pPr>
      <w:r>
        <w:rPr>
          <w:color w:val="000000"/>
          <w:highlight w:val="none"/>
        </w:rPr>
      </w:r>
      <w:r/>
    </w:p>
    <w:p>
      <w:pPr>
        <w:pStyle w:val="873"/>
        <w:rPr>
          <w:color w:val="000000"/>
          <w:highlight w:val="none"/>
        </w:rPr>
      </w:pPr>
      <w:r>
        <w:rPr>
          <w:color w:val="000000"/>
          <w:highlight w:val="none"/>
        </w:rPr>
      </w:r>
      <w:r/>
    </w:p>
    <w:p>
      <w:pPr>
        <w:pStyle w:val="873"/>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t xml:space="preserve">采购包2</w:t>
      </w:r>
      <w:r>
        <w:rPr>
          <w:rFonts w:hint="eastAsia" w:ascii="黑体" w:hAnsi="黑体" w:eastAsia="黑体"/>
          <w:color w:val="000000"/>
          <w:sz w:val="24"/>
          <w:szCs w:val="24"/>
          <w:highlight w:val="none"/>
        </w:rPr>
      </w:r>
      <w:r/>
    </w:p>
    <w:tbl>
      <w:tblPr>
        <w:tblW w:w="958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637"/>
      </w:tblGrid>
      <w:tr>
        <w:trPr>
          <w:trHeight w:val="753"/>
        </w:trPr>
        <w:tc>
          <w:tcPr>
            <w:tcW w:w="637" w:type="dxa"/>
            <w:vAlign w:val="center"/>
            <w:textDirection w:val="lrTb"/>
            <w:noWrap w:val="false"/>
          </w:tcPr>
          <w:p>
            <w:pPr>
              <w:pStyle w:val="87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289" w:type="dxa"/>
            <w:vAlign w:val="center"/>
            <w:textDirection w:val="lrTb"/>
            <w:noWrap w:val="false"/>
          </w:tcPr>
          <w:p>
            <w:pPr>
              <w:pStyle w:val="87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评审因素</w:t>
            </w:r>
            <w:r>
              <w:rPr>
                <w:rFonts w:hint="eastAsia" w:ascii="宋体" w:hAnsi="宋体" w:cs="宋体"/>
                <w:b/>
                <w:bCs/>
                <w:color w:val="000000"/>
                <w:szCs w:val="21"/>
                <w:highlight w:val="none"/>
              </w:rPr>
            </w:r>
            <w:r/>
          </w:p>
        </w:tc>
        <w:tc>
          <w:tcPr>
            <w:tcW w:w="6373" w:type="dxa"/>
            <w:vAlign w:val="center"/>
            <w:textDirection w:val="lrTb"/>
            <w:noWrap w:val="false"/>
          </w:tcPr>
          <w:p>
            <w:pPr>
              <w:pStyle w:val="87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评审细则</w:t>
            </w:r>
            <w:r>
              <w:rPr>
                <w:rFonts w:hint="eastAsia" w:ascii="宋体" w:hAnsi="宋体" w:cs="宋体"/>
                <w:b/>
                <w:bCs/>
                <w:color w:val="000000"/>
                <w:szCs w:val="21"/>
                <w:highlight w:val="none"/>
              </w:rPr>
            </w:r>
            <w:r/>
          </w:p>
        </w:tc>
        <w:tc>
          <w:tcPr>
            <w:tcW w:w="645" w:type="dxa"/>
            <w:vAlign w:val="center"/>
            <w:textDirection w:val="lrTb"/>
            <w:noWrap w:val="false"/>
          </w:tcPr>
          <w:p>
            <w:pPr>
              <w:pStyle w:val="87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c>
          <w:tcPr>
            <w:tcW w:w="637" w:type="dxa"/>
            <w:vAlign w:val="center"/>
            <w:textDirection w:val="lrTb"/>
            <w:noWrap w:val="false"/>
          </w:tcPr>
          <w:p>
            <w:pPr>
              <w:pStyle w:val="87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 类型</w:t>
            </w:r>
            <w:r>
              <w:rPr>
                <w:rFonts w:hint="eastAsia" w:ascii="宋体" w:hAnsi="宋体" w:cs="宋体"/>
                <w:b/>
                <w:bCs/>
                <w:color w:val="000000"/>
                <w:szCs w:val="21"/>
                <w:highlight w:val="none"/>
              </w:rPr>
            </w:r>
            <w:r/>
          </w:p>
        </w:tc>
      </w:tr>
      <w:tr>
        <w:trPr>
          <w:trHeight w:val="460"/>
        </w:trPr>
        <w:tc>
          <w:tcPr>
            <w:gridSpan w:val="5"/>
            <w:tcW w:w="9581"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1、价格</w:t>
            </w:r>
            <w:r>
              <w:rPr>
                <w:rFonts w:hint="eastAsia" w:ascii="宋体" w:hAnsi="宋体" w:cs="宋体"/>
                <w:color w:val="000000"/>
                <w:szCs w:val="21"/>
                <w:highlight w:val="none"/>
              </w:rPr>
            </w:r>
            <w:r/>
          </w:p>
        </w:tc>
      </w:tr>
      <w:tr>
        <w:trPr>
          <w:trHeight w:val="1030"/>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采用低价优先法计算，即满足采购文件要求且最终报价最低的供应商报价为评标基准价，其价格分为满分。其他供应商的价格分统一按照下列公式计算：报价得分=(评标基准价/最终报价)×10（小数点保留两位）</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自动 计算</w:t>
            </w:r>
            <w:r>
              <w:rPr>
                <w:rFonts w:hint="eastAsia" w:ascii="宋体" w:hAnsi="宋体" w:cs="宋体"/>
                <w:color w:val="000000"/>
                <w:szCs w:val="21"/>
                <w:highlight w:val="none"/>
              </w:rPr>
            </w:r>
            <w:r/>
          </w:p>
        </w:tc>
      </w:tr>
      <w:tr>
        <w:trPr>
          <w:trHeight w:val="460"/>
        </w:trPr>
        <w:tc>
          <w:tcPr>
            <w:gridSpan w:val="5"/>
            <w:tcW w:w="9581" w:type="dxa"/>
            <w:vAlign w:val="center"/>
            <w:textDirection w:val="lrTb"/>
            <w:noWrap w:val="false"/>
          </w:tcPr>
          <w:p>
            <w:pPr>
              <w:pStyle w:val="87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2、技术</w:t>
            </w:r>
            <w:r>
              <w:rPr>
                <w:rFonts w:hint="eastAsia" w:ascii="宋体" w:hAnsi="宋体" w:cs="宋体"/>
                <w:color w:val="000000"/>
                <w:szCs w:val="21"/>
                <w:highlight w:val="none"/>
              </w:rPr>
            </w:r>
            <w:r/>
          </w:p>
        </w:tc>
      </w:tr>
      <w:tr>
        <w:trPr>
          <w:trHeight w:val="2228"/>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需求理解</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供应商根据招标文件对本项目需求提供整体技术解决方案（每项内容逐条阐述）：1、重点难点分析；2、需求分析；3、总体架构设计。</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（1）上述内容全面合理、可行性强、操作性强、贴合项目实际的，每项得3分；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（2）上述内容比较合理、具有可行性和操作性、与项日实际较为贴合的，每项得2分；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（3）上述内容基本合理、具有一定的可行性、具有一定的操作性、与项日实际基本贴合的，每项得1分；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（4）上述每项内容完全脱离采购需求或未作完整叙述的不得分。</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主观 分</w:t>
            </w:r>
            <w:r>
              <w:rPr>
                <w:rFonts w:hint="eastAsia" w:ascii="宋体" w:hAnsi="宋体" w:cs="宋体"/>
                <w:color w:val="000000"/>
                <w:szCs w:val="21"/>
                <w:highlight w:val="none"/>
              </w:rPr>
            </w:r>
            <w:r/>
          </w:p>
        </w:tc>
      </w:tr>
      <w:tr>
        <w:trPr>
          <w:trHeight w:val="2611"/>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技术方案</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供应商根据招标文件对本项目需求提供整体技术解决方案（每项内容逐条阐述）：1、总体设计；2、技术路线；3、建设内容。</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（1）上述内容全面合理、可行性强、操作性强、贴合项目实际的，每项得3分；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（2）上述内容比较合理、具有可行性和操作性、与项日实际较为贴合的，每项得2分；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（3）上述内容基本合理、具有一定的可行性、具有一定的操作性、与项日实际基本贴合的，每项得1分；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（4）上述每项内容完全脱离采购需求或未作完整叙述的不得分。</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主观 分</w:t>
            </w:r>
            <w:r>
              <w:rPr>
                <w:rFonts w:hint="eastAsia" w:ascii="宋体" w:hAnsi="宋体" w:cs="宋体"/>
                <w:color w:val="000000"/>
                <w:szCs w:val="21"/>
                <w:highlight w:val="none"/>
              </w:rPr>
            </w:r>
            <w:r/>
          </w:p>
        </w:tc>
      </w:tr>
      <w:tr>
        <w:trPr>
          <w:trHeight w:val="1343"/>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供应商根据招标文件要求提供项目实施方案（每项内容逐条阐述）：1、项目进度计划；2、风险控制管理；3、人员配置。</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（1）上述内容全面合理、可行性强、操作性强、贴合项目实际的，每项得3分；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（2）上述内容比较合理、具有可行性和操作性、与项日实际较为贴合的，每项得2分；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（3）上述内容基本合理、具有一定的可行性、具有一定的操作性、与项日实际基本贴合的，每项得1分；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（4）上述每项内容完全脱离采购需求或未作完整叙述的不得分。</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主观 分</w:t>
            </w:r>
            <w:r>
              <w:rPr>
                <w:rFonts w:hint="eastAsia" w:ascii="宋体" w:hAnsi="宋体" w:cs="宋体"/>
                <w:color w:val="000000"/>
                <w:szCs w:val="21"/>
                <w:highlight w:val="none"/>
              </w:rPr>
            </w:r>
            <w:r/>
          </w:p>
        </w:tc>
      </w:tr>
      <w:tr>
        <w:trPr>
          <w:trHeight w:val="2147"/>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质量控制方案</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供应商根据招标文件要求提供项目质量控制方案（每项内容逐条阐述）：1、质量管理体系；2、质量控制措施；3、相关保密制度。</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（1）上述内容全面合理、可行性强、操作性强、贴合项目实际的，每项得3分；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（2）上述内容比较合理、具有可行性和操作性、与项日实际较为贴合的，每项得2分；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（3）上述内容基本合理、具有一定的可行性、具有一定的操作性、与项日实际基本贴合的，每项得1分；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（4）上述每项内容完全脱离采购需求或未作完整叙述的不得分。</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1979"/>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信息安全保障方案</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供应商根据招标文件要求提供售后服务及培训方案（每项内容逐条阐述）：1、管理制度；2、保障措施；3、应急方案。</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（1）上述内容全面合理、可行性强、操作性强、贴合项目实际的，每项得3分；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（2）上述内容比较合理、具有可行性和操作性、与项日实际较为贴合的，每项得2分；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（3）上述内容基本合理、具有一定的可行性、具有一定的操作性、与项日实际基本贴合的，每项得1分；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（4）上述每项内容完全脱离采购需求或未作完整叙述的不得分。</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2262"/>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2.6</w:t>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供应商根据招标文件要求提供售后服务及培训方案（每项内容逐条阐述）：1、售后服务方案；2、培训方案等。</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（1）上述内容全面合理、可行性强、操作性强、贴合项目实际的，每项得3分；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（2）上述内容比较合理、具有可行性和操作性、与项日实际较为贴合的，每项得2分；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（3）上述内容基本合理、具有一定的可行性、具有一定的操作性、与项日实际基本贴合的，每项得1分；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（4）上述每项内容完全脱离采购需求或未作完整叙述的不得分。</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460"/>
        </w:trPr>
        <w:tc>
          <w:tcPr>
            <w:gridSpan w:val="5"/>
            <w:tcW w:w="9581" w:type="dxa"/>
            <w:vAlign w:val="center"/>
            <w:textDirection w:val="lrTb"/>
            <w:noWrap w:val="false"/>
          </w:tcPr>
          <w:p>
            <w:pPr>
              <w:pStyle w:val="87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3、服务</w:t>
            </w:r>
            <w:r>
              <w:rPr>
                <w:rFonts w:hint="eastAsia" w:ascii="宋体" w:hAnsi="宋体" w:cs="宋体"/>
                <w:color w:val="000000"/>
                <w:szCs w:val="21"/>
                <w:highlight w:val="none"/>
              </w:rPr>
            </w:r>
            <w:r/>
          </w:p>
        </w:tc>
      </w:tr>
      <w:tr>
        <w:trPr>
          <w:trHeight w:val="1062"/>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能力</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项目负责人具有</w:t>
            </w:r>
            <w:r>
              <w:rPr>
                <w:rFonts w:hint="eastAsia" w:ascii="宋体" w:hAnsi="宋体" w:cs="宋体"/>
                <w:color w:val="000000"/>
                <w:szCs w:val="21"/>
                <w:highlight w:val="none"/>
                <w:lang w:val="zh-CN"/>
              </w:rPr>
              <w:t xml:space="preserve">电子</w:t>
            </w:r>
            <w:r>
              <w:rPr>
                <w:rFonts w:hint="eastAsia" w:ascii="宋体" w:hAnsi="宋体" w:cs="宋体"/>
                <w:color w:val="000000"/>
                <w:szCs w:val="21"/>
                <w:highlight w:val="none"/>
              </w:rPr>
              <w:t xml:space="preserve">信息工程</w:t>
            </w:r>
            <w:r>
              <w:rPr>
                <w:rFonts w:hint="eastAsia" w:ascii="宋体" w:hAnsi="宋体" w:cs="宋体"/>
                <w:color w:val="000000"/>
                <w:szCs w:val="21"/>
                <w:highlight w:val="none"/>
                <w:lang w:val="zh-CN"/>
              </w:rPr>
              <w:t xml:space="preserve">类、测绘类、</w:t>
            </w:r>
            <w:r>
              <w:rPr>
                <w:rFonts w:hint="eastAsia" w:ascii="宋体" w:hAnsi="宋体" w:cs="宋体"/>
                <w:color w:val="000000"/>
                <w:szCs w:val="21"/>
                <w:highlight w:val="none"/>
              </w:rPr>
              <w:t xml:space="preserve">土地类高级工程师及以上职称的，每提供一类得2分，最多得6分。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（提供证书及投标人为其缴纳的2025年以来任意一个月的社保证明）</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客观 分</w:t>
            </w:r>
            <w:r>
              <w:rPr>
                <w:rFonts w:hint="eastAsia" w:ascii="宋体" w:hAnsi="宋体" w:cs="宋体"/>
                <w:color w:val="000000"/>
                <w:szCs w:val="21"/>
                <w:highlight w:val="none"/>
              </w:rPr>
            </w:r>
            <w:r/>
          </w:p>
        </w:tc>
      </w:tr>
      <w:tr>
        <w:trPr>
          <w:trHeight w:val="531"/>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能力</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技术负责人具有</w:t>
            </w:r>
            <w:r>
              <w:rPr>
                <w:rFonts w:hint="eastAsia" w:ascii="宋体" w:hAnsi="宋体" w:cs="宋体"/>
                <w:color w:val="000000"/>
                <w:szCs w:val="21"/>
                <w:highlight w:val="none"/>
                <w:lang w:val="zh-CN"/>
              </w:rPr>
              <w:t xml:space="preserve">电子</w:t>
            </w:r>
            <w:r>
              <w:rPr>
                <w:rFonts w:hint="eastAsia" w:ascii="宋体" w:hAnsi="宋体" w:cs="宋体"/>
                <w:color w:val="000000"/>
                <w:szCs w:val="21"/>
                <w:highlight w:val="none"/>
              </w:rPr>
              <w:t xml:space="preserve">信息工程</w:t>
            </w:r>
            <w:r>
              <w:rPr>
                <w:rFonts w:hint="eastAsia" w:ascii="宋体" w:hAnsi="宋体" w:cs="宋体"/>
                <w:color w:val="000000"/>
                <w:szCs w:val="21"/>
                <w:highlight w:val="none"/>
                <w:lang w:val="zh-CN"/>
              </w:rPr>
              <w:t xml:space="preserve">类、测绘类、</w:t>
            </w:r>
            <w:r>
              <w:rPr>
                <w:rFonts w:hint="eastAsia" w:ascii="宋体" w:hAnsi="宋体" w:cs="宋体"/>
                <w:color w:val="000000"/>
                <w:szCs w:val="21"/>
                <w:highlight w:val="none"/>
              </w:rPr>
              <w:t xml:space="preserve">土地类高级工程师及以上职称的，每提供一类得2分，最多得6分。</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（提供证书及投标人为其缴纳的2025年以来任意一个月的社保证明）</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客观 分</w:t>
            </w:r>
            <w:r>
              <w:rPr>
                <w:rFonts w:hint="eastAsia" w:ascii="宋体" w:hAnsi="宋体" w:cs="宋体"/>
                <w:color w:val="000000"/>
                <w:szCs w:val="21"/>
                <w:highlight w:val="none"/>
              </w:rPr>
            </w:r>
            <w:r/>
          </w:p>
        </w:tc>
      </w:tr>
      <w:tr>
        <w:trPr>
          <w:trHeight w:val="1971"/>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3.3</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项目实施人员能力</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项目实施人员（项目负责人、技术负责人除外）具有以下证书：</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具有信息系统项目管理师证书</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每</w:t>
            </w:r>
            <w:r>
              <w:rPr>
                <w:rFonts w:hint="eastAsia" w:ascii="宋体" w:hAnsi="宋体" w:cs="宋体"/>
                <w:color w:val="000000"/>
                <w:szCs w:val="21"/>
                <w:highlight w:val="none"/>
              </w:rPr>
              <w:t xml:space="preserve">1人</w:t>
            </w:r>
            <w:r>
              <w:rPr>
                <w:rFonts w:hint="eastAsia" w:ascii="宋体" w:hAnsi="宋体" w:cs="宋体"/>
                <w:color w:val="000000"/>
                <w:szCs w:val="21"/>
                <w:highlight w:val="none"/>
                <w:lang w:val="zh-CN"/>
              </w:rPr>
              <w:t xml:space="preserve">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w:t>
            </w:r>
            <w:r>
              <w:rPr>
                <w:rFonts w:hint="eastAsia" w:ascii="宋体" w:hAnsi="宋体" w:cs="宋体"/>
                <w:color w:val="000000"/>
                <w:szCs w:val="21"/>
                <w:highlight w:val="none"/>
              </w:rPr>
              <w:t xml:space="preserve">高</w:t>
            </w:r>
            <w:r>
              <w:rPr>
                <w:rFonts w:hint="eastAsia" w:ascii="宋体" w:hAnsi="宋体" w:cs="宋体"/>
                <w:color w:val="000000"/>
                <w:szCs w:val="21"/>
                <w:highlight w:val="none"/>
                <w:lang w:val="zh-CN"/>
              </w:rPr>
              <w:t xml:space="preserve">得</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具有</w:t>
            </w:r>
            <w:r>
              <w:rPr>
                <w:rFonts w:hint="eastAsia" w:ascii="宋体" w:hAnsi="宋体" w:cs="宋体"/>
                <w:color w:val="000000"/>
                <w:szCs w:val="21"/>
                <w:highlight w:val="none"/>
              </w:rPr>
              <w:t xml:space="preserve">土地类中级工程师及以上职称的，</w:t>
            </w:r>
            <w:r>
              <w:rPr>
                <w:rFonts w:hint="eastAsia" w:ascii="宋体" w:hAnsi="宋体" w:cs="宋体"/>
                <w:color w:val="000000"/>
                <w:szCs w:val="21"/>
                <w:highlight w:val="none"/>
                <w:lang w:val="zh-CN"/>
              </w:rPr>
              <w:t xml:space="preserve">每</w:t>
            </w:r>
            <w:r>
              <w:rPr>
                <w:rFonts w:hint="eastAsia" w:ascii="宋体" w:hAnsi="宋体" w:cs="宋体"/>
                <w:color w:val="000000"/>
                <w:szCs w:val="21"/>
                <w:highlight w:val="none"/>
              </w:rPr>
              <w:t xml:space="preserve">1人</w:t>
            </w:r>
            <w:r>
              <w:rPr>
                <w:rFonts w:hint="eastAsia" w:ascii="宋体" w:hAnsi="宋体" w:cs="宋体"/>
                <w:color w:val="000000"/>
                <w:szCs w:val="21"/>
                <w:highlight w:val="none"/>
                <w:lang w:val="zh-CN"/>
              </w:rPr>
              <w:t xml:space="preserve">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w:t>
            </w:r>
            <w:r>
              <w:rPr>
                <w:rFonts w:hint="eastAsia" w:ascii="宋体" w:hAnsi="宋体" w:cs="宋体"/>
                <w:color w:val="000000"/>
                <w:szCs w:val="21"/>
                <w:highlight w:val="none"/>
              </w:rPr>
              <w:t xml:space="preserve">高</w:t>
            </w:r>
            <w:r>
              <w:rPr>
                <w:rFonts w:hint="eastAsia" w:ascii="宋体" w:hAnsi="宋体" w:cs="宋体"/>
                <w:color w:val="000000"/>
                <w:szCs w:val="21"/>
                <w:highlight w:val="none"/>
                <w:lang w:val="zh-CN"/>
              </w:rPr>
              <w:t xml:space="preserve">得</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注：本项最多10分，同一人员不可重复得分。须提供人员证书及供应商为其缴纳的2025年以来任意一个月的社保缴费证明材料，证明材料缺项或未提供的不得分。</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客观 分</w:t>
            </w:r>
            <w:r>
              <w:rPr>
                <w:rFonts w:hint="eastAsia" w:ascii="宋体" w:hAnsi="宋体" w:cs="宋体"/>
                <w:color w:val="000000"/>
                <w:szCs w:val="21"/>
                <w:highlight w:val="none"/>
              </w:rPr>
            </w:r>
            <w:r/>
          </w:p>
        </w:tc>
      </w:tr>
      <w:tr>
        <w:trPr>
          <w:trHeight w:val="549"/>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本地化服务 能力</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投标人具有本地化服务能力的得3分（提供书面承诺或有效证明材料）。</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客观 分</w:t>
            </w:r>
            <w:r>
              <w:rPr>
                <w:rFonts w:hint="eastAsia" w:ascii="宋体" w:hAnsi="宋体" w:cs="宋体"/>
                <w:color w:val="000000"/>
                <w:szCs w:val="21"/>
                <w:highlight w:val="none"/>
              </w:rPr>
            </w:r>
            <w:r/>
          </w:p>
        </w:tc>
      </w:tr>
      <w:tr>
        <w:trPr>
          <w:trHeight w:val="460"/>
        </w:trPr>
        <w:tc>
          <w:tcPr>
            <w:gridSpan w:val="5"/>
            <w:tcW w:w="9581" w:type="dxa"/>
            <w:vAlign w:val="center"/>
            <w:textDirection w:val="lrTb"/>
            <w:noWrap w:val="false"/>
          </w:tcPr>
          <w:p>
            <w:pPr>
              <w:pStyle w:val="87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4、业绩</w:t>
            </w:r>
            <w:r>
              <w:rPr>
                <w:rFonts w:hint="eastAsia" w:ascii="宋体" w:hAnsi="宋体" w:cs="宋体"/>
                <w:color w:val="000000"/>
                <w:szCs w:val="21"/>
                <w:highlight w:val="none"/>
              </w:rPr>
            </w:r>
            <w:r/>
          </w:p>
        </w:tc>
      </w:tr>
      <w:tr>
        <w:trPr>
          <w:trHeight w:val="1056"/>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4.1</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供应商提供自2022 年1月1日以来（以合同签订时间为准）承接 </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的类似项目案例（如</w:t>
            </w:r>
            <w:r>
              <w:rPr>
                <w:rFonts w:hint="eastAsia" w:ascii="宋体" w:hAnsi="宋体" w:cs="宋体"/>
                <w:color w:val="000000"/>
                <w:szCs w:val="21"/>
                <w:highlight w:val="none"/>
                <w:lang w:bidi="ar"/>
              </w:rPr>
              <w:t xml:space="preserve">规划类、自然资源类、土地类、国土类、测绘类</w:t>
            </w:r>
            <w:r>
              <w:rPr>
                <w:rFonts w:hint="eastAsia" w:ascii="宋体" w:hAnsi="宋体" w:cs="宋体"/>
                <w:color w:val="000000"/>
                <w:szCs w:val="21"/>
                <w:highlight w:val="none"/>
              </w:rPr>
              <w:t xml:space="preserve">业务应用软件开发项目），每提供1个得2分，同一项目不重复得分，最多6分。（提供合同，合同须能反映项目名称、主要标的物，签订时间和签章清晰可见）</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客观 分</w:t>
            </w:r>
            <w:r>
              <w:rPr>
                <w:rFonts w:hint="eastAsia" w:ascii="宋体" w:hAnsi="宋体" w:cs="宋体"/>
                <w:color w:val="000000"/>
                <w:szCs w:val="21"/>
                <w:highlight w:val="none"/>
              </w:rPr>
            </w:r>
            <w:r/>
          </w:p>
        </w:tc>
      </w:tr>
      <w:tr>
        <w:trPr>
          <w:trHeight w:val="460"/>
        </w:trPr>
        <w:tc>
          <w:tcPr>
            <w:gridSpan w:val="5"/>
            <w:tcW w:w="9581" w:type="dxa"/>
            <w:vAlign w:val="center"/>
            <w:textDirection w:val="lrTb"/>
            <w:noWrap w:val="false"/>
          </w:tcPr>
          <w:p>
            <w:pPr>
              <w:pStyle w:val="87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5、履约能力</w:t>
            </w:r>
            <w:r>
              <w:rPr>
                <w:rFonts w:hint="eastAsia" w:ascii="宋体" w:hAnsi="宋体" w:cs="宋体"/>
                <w:color w:val="000000"/>
                <w:szCs w:val="21"/>
                <w:highlight w:val="none"/>
              </w:rPr>
            </w:r>
            <w:r/>
          </w:p>
        </w:tc>
      </w:tr>
      <w:tr>
        <w:trPr>
          <w:trHeight w:val="549"/>
        </w:trPr>
        <w:tc>
          <w:tcPr>
            <w:tcW w:w="637"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5.1</w:t>
            </w:r>
            <w:r>
              <w:rPr>
                <w:rFonts w:hint="eastAsia" w:ascii="宋体" w:hAnsi="宋体" w:cs="宋体"/>
                <w:color w:val="000000"/>
                <w:szCs w:val="21"/>
                <w:highlight w:val="none"/>
              </w:rPr>
            </w:r>
            <w:r/>
          </w:p>
        </w:tc>
        <w:tc>
          <w:tcPr>
            <w:tcW w:w="1289"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履约能力1</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供应商具有国土空间基础信息平台、遥感影像识别、影像解译、无人机智能监测相关的软件著作权证书，每提供1类得2分，最多得8分。 </w:t>
            </w:r>
            <w:r>
              <w:rPr>
                <w:rFonts w:hint="eastAsia" w:ascii="宋体" w:hAnsi="宋体" w:cs="宋体"/>
                <w:color w:val="000000"/>
                <w:szCs w:val="21"/>
                <w:highlight w:val="none"/>
              </w:rPr>
            </w:r>
            <w:r/>
          </w:p>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备注：所提供证书“软件名称”与评分标准给定名称不同时，应提供符合上述要求的内容（功能）说明及关键信息，否则不予认可。</w:t>
            </w:r>
            <w:r>
              <w:rPr>
                <w:rFonts w:hint="eastAsia" w:ascii="宋体" w:hAnsi="宋体" w:cs="宋体"/>
                <w:color w:val="000000"/>
                <w:szCs w:val="21"/>
                <w:highlight w:val="none"/>
              </w:rPr>
            </w:r>
            <w:r/>
          </w:p>
        </w:tc>
        <w:tc>
          <w:tcPr>
            <w:tcW w:w="645"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637"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客观 分</w:t>
            </w:r>
            <w:r>
              <w:rPr>
                <w:rFonts w:hint="eastAsia" w:ascii="宋体" w:hAnsi="宋体" w:cs="宋体"/>
                <w:color w:val="000000"/>
                <w:szCs w:val="21"/>
                <w:highlight w:val="none"/>
              </w:rPr>
            </w:r>
            <w:r/>
          </w:p>
        </w:tc>
      </w:tr>
      <w:tr>
        <w:trPr>
          <w:trHeight w:val="549"/>
        </w:trPr>
        <w:tc>
          <w:tcPr>
            <w:gridSpan w:val="2"/>
            <w:tcW w:w="1926"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6373" w:type="dxa"/>
            <w:vAlign w:val="center"/>
            <w:textDirection w:val="lrTb"/>
            <w:noWrap w:val="false"/>
          </w:tcPr>
          <w:p>
            <w:pPr>
              <w:pStyle w:val="873"/>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282" w:type="dxa"/>
            <w:vAlign w:val="center"/>
            <w:textDirection w:val="lrTb"/>
            <w:noWrap w:val="false"/>
          </w:tcPr>
          <w:p>
            <w:pPr>
              <w:pStyle w:val="87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100分</w:t>
            </w:r>
            <w:r>
              <w:rPr>
                <w:rFonts w:hint="eastAsia" w:ascii="宋体" w:hAnsi="宋体" w:cs="宋体"/>
                <w:color w:val="000000"/>
                <w:szCs w:val="21"/>
                <w:highlight w:val="none"/>
              </w:rPr>
            </w:r>
            <w:r/>
          </w:p>
        </w:tc>
      </w:tr>
    </w:tbl>
    <w:p>
      <w:pPr>
        <w:pStyle w:val="873"/>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黑体"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highlight w:val="none"/>
        </w:rPr>
        <w:t xml:space="preserve">响应文件格式</w:t>
      </w:r>
      <w:r>
        <w:rPr>
          <w:rFonts w:hint="eastAsia" w:ascii="方正小标宋简体" w:hAnsi="方正小标宋简体" w:eastAsia="方正小标宋简体" w:cs="方正小标宋简体"/>
          <w:color w:val="000000"/>
          <w:sz w:val="36"/>
          <w:szCs w:val="36"/>
          <w:highlight w:val="none"/>
        </w:rPr>
      </w:r>
      <w:r/>
    </w:p>
    <w:p>
      <w:pPr>
        <w:pStyle w:val="873"/>
        <w:jc w:val="center"/>
        <w:rPr>
          <w:rFonts w:hint="eastAsia" w:ascii="宋体" w:hAnsi="宋体"/>
          <w:b/>
          <w:color w:val="000000"/>
          <w:sz w:val="72"/>
          <w:szCs w:val="21"/>
          <w:highlight w:val="none"/>
        </w:rPr>
      </w:pPr>
      <w:r/>
      <w:bookmarkStart w:id="28" w:name="_Hlt26955039"/>
      <w:r/>
      <w:bookmarkEnd w:id="28"/>
      <w:r/>
      <w:bookmarkStart w:id="29" w:name="_Hlt26671244"/>
      <w:r/>
      <w:bookmarkEnd w:id="29"/>
      <w:r/>
      <w:bookmarkStart w:id="30" w:name="_Toc49090576"/>
      <w:r/>
      <w:bookmarkStart w:id="31" w:name="_Toc26554094"/>
      <w:r/>
      <w:bookmarkStart w:id="32" w:name="_Toc120614282"/>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73"/>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73"/>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873"/>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szCs w:val="21"/>
          <w:highlight w:val="none"/>
        </w:rPr>
      </w:pPr>
      <w:r>
        <w:rPr>
          <w:rFonts w:ascii="宋体" w:hAnsi="宋体"/>
          <w:color w:val="000000"/>
          <w:szCs w:val="21"/>
          <w:highlight w:val="none"/>
        </w:rPr>
      </w:r>
      <w:r/>
    </w:p>
    <w:p>
      <w:pPr>
        <w:pStyle w:val="873"/>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w:t>
      </w:r>
      <w:r>
        <w:rPr>
          <w:rFonts w:hint="eastAsia" w:ascii="宋体" w:hAnsi="宋体" w:cs="宋体"/>
          <w:color w:val="000000"/>
          <w:sz w:val="28"/>
          <w:szCs w:val="28"/>
          <w:highlight w:val="none"/>
        </w:rPr>
        <w:t xml:space="preserve">（如有特定资格要求）</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四、磋商响应函</w:t>
      </w:r>
      <w:r>
        <w:rPr>
          <w:rFonts w:hint="eastAsia" w:ascii="宋体" w:hAnsi="宋体" w:cs="宋体"/>
          <w:color w:val="000000"/>
          <w:sz w:val="28"/>
          <w:szCs w:val="28"/>
          <w:highlight w:val="none"/>
        </w:rPr>
      </w:r>
      <w:r/>
    </w:p>
    <w:p>
      <w:pPr>
        <w:pStyle w:val="873"/>
        <w:ind w:firstLine="560"/>
        <w:spacing w:line="600" w:lineRule="exact"/>
        <w:rPr>
          <w:rFonts w:ascii="宋体" w:hAnsi="宋体" w:cs="宋体"/>
          <w:color w:val="000000"/>
          <w:sz w:val="28"/>
          <w:szCs w:val="28"/>
          <w:highlight w:val="none"/>
        </w:rPr>
      </w:pPr>
      <w:r>
        <w:rPr>
          <w:rFonts w:ascii="宋体" w:hAnsi="宋体" w:cs="宋体"/>
          <w:color w:val="000000"/>
          <w:sz w:val="28"/>
          <w:szCs w:val="28"/>
          <w:highlight w:val="none"/>
        </w:rPr>
        <w:t xml:space="preserve">五、</w:t>
      </w:r>
      <w:r>
        <w:rPr>
          <w:rFonts w:hint="eastAsia" w:ascii="宋体" w:hAnsi="宋体" w:cs="宋体"/>
          <w:color w:val="000000"/>
          <w:sz w:val="28"/>
          <w:szCs w:val="28"/>
          <w:highlight w:val="none"/>
        </w:rPr>
        <w:t xml:space="preserve">磋商报价表</w:t>
      </w:r>
      <w:r>
        <w:rPr>
          <w:rFonts w:ascii="宋体" w:hAnsi="宋体" w:cs="宋体"/>
          <w:color w:val="000000"/>
          <w:sz w:val="28"/>
          <w:szCs w:val="28"/>
          <w:highlight w:val="none"/>
        </w:rPr>
      </w:r>
      <w:r/>
    </w:p>
    <w:p>
      <w:pPr>
        <w:pStyle w:val="873"/>
        <w:ind w:firstLine="560"/>
        <w:spacing w:line="600" w:lineRule="exact"/>
        <w:rPr>
          <w:rFonts w:ascii="宋体" w:hAnsi="宋体" w:cs="宋体"/>
          <w:color w:val="000000"/>
          <w:sz w:val="28"/>
          <w:szCs w:val="28"/>
          <w:highlight w:val="none"/>
        </w:rPr>
      </w:pPr>
      <w:r>
        <w:rPr>
          <w:rFonts w:ascii="宋体" w:hAnsi="宋体" w:cs="宋体"/>
          <w:color w:val="000000"/>
          <w:sz w:val="28"/>
          <w:szCs w:val="28"/>
          <w:highlight w:val="none"/>
        </w:rPr>
        <w:t xml:space="preserve">六</w:t>
      </w:r>
      <w:r>
        <w:rPr>
          <w:rFonts w:hint="eastAsia" w:ascii="宋体" w:hAnsi="宋体" w:cs="宋体"/>
          <w:color w:val="000000"/>
          <w:sz w:val="28"/>
          <w:szCs w:val="28"/>
          <w:highlight w:val="none"/>
        </w:rPr>
        <w:t xml:space="preserve">、分项报价表（如有）</w:t>
      </w:r>
      <w:r>
        <w:rPr>
          <w:rFonts w:ascii="宋体" w:hAnsi="宋体" w:cs="宋体"/>
          <w:color w:val="000000"/>
          <w:sz w:val="28"/>
          <w:szCs w:val="28"/>
          <w:highlight w:val="none"/>
        </w:rPr>
      </w:r>
      <w:r/>
    </w:p>
    <w:p>
      <w:pPr>
        <w:pStyle w:val="873"/>
        <w:ind w:firstLine="560"/>
        <w:spacing w:line="600" w:lineRule="exact"/>
        <w:rPr>
          <w:rFonts w:ascii="宋体" w:hAnsi="宋体"/>
          <w:color w:val="000000"/>
          <w:sz w:val="24"/>
          <w:highlight w:val="none"/>
        </w:rPr>
      </w:pPr>
      <w:r>
        <w:rPr>
          <w:rFonts w:hint="eastAsia" w:ascii="宋体" w:hAnsi="宋体" w:cs="宋体"/>
          <w:color w:val="000000"/>
          <w:sz w:val="28"/>
          <w:szCs w:val="28"/>
          <w:highlight w:val="none"/>
        </w:rPr>
        <w:t xml:space="preserve">七、技术要求响应及偏离表</w:t>
      </w:r>
      <w:r>
        <w:rPr>
          <w:rFonts w:ascii="宋体" w:hAnsi="宋体"/>
          <w:color w:val="000000"/>
          <w:sz w:val="24"/>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十一、联合体协议（如有）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十二、分包承诺书（如有）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rPr>
        <w:t xml:space="preserve">一、供应商信用承诺函</w:t>
      </w:r>
      <w:r>
        <w:rPr>
          <w:rFonts w:hint="eastAsia" w:ascii="黑体" w:hAnsi="黑体" w:eastAsia="黑体"/>
          <w:i/>
          <w:color w:val="000000"/>
          <w:sz w:val="32"/>
          <w:szCs w:val="32"/>
          <w:highlight w:val="none"/>
          <w:u w:val="singl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873"/>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如果我公司成交，将在成交结果公示后七个工作日内向采购人提供下列材料核验：</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73"/>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1"/>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rPr>
          <w:color w:val="000000"/>
          <w:sz w:val="24"/>
          <w:szCs w:val="24"/>
          <w:highlight w:val="none"/>
        </w:rPr>
      </w:pPr>
      <w:r>
        <w:rPr>
          <w:color w:val="000000"/>
          <w:sz w:val="24"/>
          <w:szCs w:val="24"/>
          <w:highlight w:val="none"/>
        </w:rPr>
      </w:r>
      <w:r/>
    </w:p>
    <w:p>
      <w:pPr>
        <w:pStyle w:val="873"/>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spacing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951"/>
        <w:rPr>
          <w:rFonts w:hint="eastAsia"/>
          <w:color w:val="000000"/>
          <w:highlight w:val="none"/>
        </w:rPr>
      </w:pPr>
      <w:r>
        <w:rPr>
          <w:rFonts w:hint="eastAsia"/>
          <w:color w:val="000000"/>
          <w:highlight w:val="none"/>
        </w:rPr>
      </w:r>
      <w:r/>
    </w:p>
    <w:p>
      <w:pPr>
        <w:pStyle w:val="873"/>
        <w:rPr>
          <w:rFonts w:hint="eastAsia" w:ascii="黑体" w:hAnsi="黑体" w:eastAsia="黑体"/>
          <w:color w:val="000000"/>
          <w:sz w:val="32"/>
          <w:szCs w:val="32"/>
          <w:highlight w:val="none"/>
        </w:rPr>
      </w:pPr>
      <w:r/>
      <w:bookmarkEnd w:id="30"/>
      <w:r/>
      <w:bookmarkEnd w:id="31"/>
      <w:r/>
      <w:bookmarkEnd w:id="32"/>
      <w:r/>
      <w:bookmarkStart w:id="33" w:name="_Toc120614284"/>
      <w:r>
        <w:rPr>
          <w:rFonts w:hint="eastAsia" w:ascii="黑体" w:hAnsi="黑体" w:eastAsia="黑体"/>
          <w:color w:val="000000"/>
          <w:sz w:val="32"/>
          <w:szCs w:val="32"/>
          <w:highlight w:val="none"/>
        </w:rPr>
        <w:t xml:space="preserve">二、特定资格要求的证明文件</w:t>
      </w:r>
      <w:r>
        <w:rPr>
          <w:rFonts w:hint="eastAsia" w:ascii="黑体" w:hAnsi="黑体" w:eastAsia="黑体"/>
          <w:color w:val="000000"/>
          <w:sz w:val="32"/>
          <w:szCs w:val="32"/>
          <w:highlight w:val="none"/>
        </w:rPr>
      </w:r>
      <w:r/>
    </w:p>
    <w:p>
      <w:pPr>
        <w:pStyle w:val="873"/>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本项目申请人的特定资格要求中要求提供的材料。</w:t>
      </w: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jc w:val="lef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jc w:val="lef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jc w:val="lef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3"/>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3"/>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zh-CN"/>
        </w:rPr>
        <w:t xml:space="preserve">法人授权书</w:t>
      </w:r>
      <w:r>
        <w:rPr>
          <w:rFonts w:hint="eastAsia" w:ascii="方正小标宋简体" w:hAnsi="方正小标宋简体" w:eastAsia="方正小标宋简体" w:cs="方正小标宋简体"/>
          <w:color w:val="000000"/>
          <w:sz w:val="32"/>
          <w:szCs w:val="32"/>
          <w:highlight w:val="none"/>
          <w:lang w:val="zh-CN"/>
        </w:rPr>
      </w:r>
      <w:r/>
    </w:p>
    <w:p>
      <w:pPr>
        <w:pStyle w:val="962"/>
        <w:ind w:firstLine="480"/>
        <w:spacing w:line="48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（被授权人的姓名）作为我方就编号为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2"/>
        <w:ind w:firstLine="480"/>
        <w:spacing w:line="48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962"/>
        <w:ind w:firstLine="0"/>
        <w:spacing w:line="480" w:lineRule="auto"/>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962"/>
        <w:ind w:firstLine="480"/>
        <w:spacing w:line="480" w:lineRule="auto"/>
        <w:tabs>
          <w:tab w:val="left" w:pos="360" w:leader="none"/>
        </w:tabs>
        <w:rPr>
          <w:rFonts w:hint="eastAsia" w:ascii="宋体" w:hAnsi="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cs="宋体"/>
          <w:color w:val="000000"/>
          <w:sz w:val="24"/>
          <w:szCs w:val="24"/>
          <w:highlight w:val="none"/>
          <w:u w:val="single"/>
        </w:rPr>
      </w:r>
      <w:r/>
    </w:p>
    <w:p>
      <w:pPr>
        <w:pStyle w:val="962"/>
        <w:ind w:firstLine="480"/>
        <w:spacing w:line="480" w:lineRule="auto"/>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62"/>
        <w:ind w:firstLine="480"/>
        <w:spacing w:line="480" w:lineRule="auto"/>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2"/>
        <w:ind w:firstLine="480"/>
        <w:spacing w:line="480" w:lineRule="auto"/>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34" w:name="_格式3__银行出具的资信证明"/>
      <w:r/>
      <w:bookmarkEnd w:id="34"/>
      <w:r/>
      <w:bookmarkStart w:id="35" w:name="_Hlt26671380"/>
      <w:r/>
      <w:bookmarkEnd w:id="35"/>
      <w:r/>
      <w:bookmarkStart w:id="36" w:name="_Hlt26955070"/>
      <w:r/>
      <w:bookmarkEnd w:id="36"/>
      <w:r>
        <w:rPr>
          <w:rFonts w:hint="eastAsia"/>
          <w:color w:val="000000"/>
          <w:sz w:val="24"/>
          <w:szCs w:val="24"/>
          <w:highlight w:val="non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rPr>
          <w:rFonts w:hint="eastAsia"/>
          <w:color w:val="000000"/>
          <w:sz w:val="24"/>
          <w:szCs w:val="24"/>
          <w:highlight w:val="none"/>
          <w:u w:val="single"/>
        </w:rPr>
      </w:r>
      <w:r/>
    </w:p>
    <w:p>
      <w:pPr>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rPr>
          <w:rFonts w:hint="eastAsia"/>
          <w:color w:val="000000"/>
          <w:sz w:val="24"/>
          <w:szCs w:val="24"/>
          <w:highlight w:val="none"/>
          <w:u w:val="single"/>
        </w:rPr>
      </w:r>
      <w:r/>
    </w:p>
    <w:p>
      <w:pPr>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ind w:firstLine="480"/>
        <w:tabs>
          <w:tab w:val="left" w:pos="360" w:leader="none"/>
        </w:tabs>
        <w:rPr>
          <w:rFonts w:hint="eastAsia"/>
          <w:color w:val="000000"/>
          <w:sz w:val="24"/>
          <w:szCs w:val="24"/>
          <w:highlight w:val="none"/>
          <w:u w:val="single"/>
        </w:rPr>
      </w:pPr>
      <w:r>
        <w:rPr>
          <w:rFonts w:hint="eastAsia"/>
          <w:color w:val="000000"/>
          <w:sz w:val="24"/>
          <w:szCs w:val="24"/>
          <w:highlight w:val="none"/>
          <w:u w:val="single"/>
        </w:rPr>
      </w:r>
      <w:r/>
    </w:p>
    <w:p>
      <w:pPr>
        <w:pStyle w:val="873"/>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四、磋商响应函</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73"/>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致：南京市公共资源交易中心</w:t>
      </w:r>
      <w:r>
        <w:rPr>
          <w:rFonts w:hint="eastAsia" w:ascii="宋体" w:hAnsi="宋体"/>
          <w:color w:val="000000"/>
          <w:sz w:val="24"/>
          <w:szCs w:val="21"/>
          <w:highlight w:val="none"/>
        </w:rPr>
      </w:r>
      <w:r/>
    </w:p>
    <w:p>
      <w:pPr>
        <w:pStyle w:val="964"/>
        <w:spacing w:before="0" w:after="0"/>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磋商文件，我方正式提</w:t>
      </w:r>
      <w:r>
        <w:rPr>
          <w:rFonts w:hint="eastAsia" w:ascii="宋体" w:hAnsi="宋体" w:cs="宋体"/>
          <w:color w:val="000000"/>
          <w:highlight w:val="none"/>
        </w:rPr>
        <w:t xml:space="preserve">交磋商响应函，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873"/>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1.按磋商文件规定的各项要求，向买方提供所需服务（包含与货物相关的服务及与服务相关的货物）。</w:t>
      </w:r>
      <w:r>
        <w:rPr>
          <w:rFonts w:hint="eastAsia" w:ascii="宋体" w:hAnsi="宋体"/>
          <w:color w:val="000000"/>
          <w:sz w:val="24"/>
          <w:szCs w:val="21"/>
          <w:highlight w:val="none"/>
        </w:rPr>
      </w:r>
      <w:r/>
    </w:p>
    <w:p>
      <w:pPr>
        <w:pStyle w:val="873"/>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873"/>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873"/>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4.我们同意从规定的磋商日期起遵循本响应文件，并在规定的磋商有效期期满之前均具有约束力。</w:t>
      </w:r>
      <w:r>
        <w:rPr>
          <w:rFonts w:hint="eastAsia" w:ascii="宋体" w:hAnsi="宋体"/>
          <w:color w:val="000000"/>
          <w:sz w:val="24"/>
          <w:szCs w:val="21"/>
          <w:highlight w:val="none"/>
        </w:rPr>
      </w:r>
      <w:r/>
    </w:p>
    <w:p>
      <w:pPr>
        <w:pStyle w:val="873"/>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873"/>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87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8.我方与本磋商有关的正式通讯地址为：</w:t>
      </w:r>
      <w:r>
        <w:rPr>
          <w:rFonts w:hint="eastAsia" w:ascii="宋体" w:hAnsi="宋体"/>
          <w:color w:val="000000"/>
          <w:sz w:val="24"/>
          <w:szCs w:val="21"/>
          <w:highlight w:val="none"/>
        </w:rPr>
      </w:r>
      <w:r/>
    </w:p>
    <w:p>
      <w:pPr>
        <w:pStyle w:val="964"/>
        <w:spacing w:before="0" w:after="0"/>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spacing w:before="0" w:after="0"/>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64"/>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64"/>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64"/>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64"/>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73"/>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64"/>
        <w:spacing w:before="0" w:after="0"/>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3"/>
        <w:rPr>
          <w:rFonts w:hint="eastAsia" w:ascii="宋体" w:hAnsi="宋体"/>
          <w:color w:val="000000"/>
          <w:szCs w:val="21"/>
          <w:highlight w:val="none"/>
        </w:rPr>
      </w:pPr>
      <w:r>
        <w:rPr>
          <w:rFonts w:hint="eastAsia" w:ascii="宋体" w:hAnsi="宋体"/>
          <w:color w:val="000000"/>
          <w:szCs w:val="21"/>
          <w:highlight w:val="none"/>
        </w:rPr>
      </w:r>
      <w:r/>
    </w:p>
    <w:p>
      <w:pPr>
        <w:pStyle w:val="873"/>
        <w:rPr>
          <w:rFonts w:hint="eastAsia" w:ascii="宋体" w:hAnsi="宋体"/>
          <w:color w:val="000000"/>
          <w:szCs w:val="21"/>
          <w:highlight w:val="none"/>
        </w:rPr>
      </w:pPr>
      <w:r>
        <w:rPr>
          <w:rFonts w:hint="eastAsia" w:ascii="宋体" w:hAnsi="宋体"/>
          <w:color w:val="000000"/>
          <w:szCs w:val="21"/>
          <w:highlight w:val="none"/>
        </w:rPr>
      </w:r>
      <w:r/>
    </w:p>
    <w:p>
      <w:pPr>
        <w:pStyle w:val="873"/>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highlight w:val="none"/>
        </w:rPr>
      </w:pPr>
      <w:r>
        <w:rPr>
          <w:rFonts w:hint="eastAsia" w:ascii="宋体" w:hAnsi="宋体"/>
          <w:color w:val="000000"/>
          <w:szCs w:val="21"/>
          <w:highlight w:val="none"/>
        </w:rPr>
      </w:r>
      <w:r>
        <w:rPr>
          <w:rFonts w:hint="eastAsia" w:ascii="宋体" w:hAnsi="宋体"/>
          <w:color w:val="000000"/>
          <w:szCs w:val="21"/>
          <w:highlight w:val="none"/>
        </w:rPr>
      </w:r>
      <w:r/>
    </w:p>
    <w:p>
      <w:pP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szCs w:val="21"/>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五、磋商报价表</w:t>
      </w:r>
      <w:r>
        <w:rPr>
          <w:rFonts w:hint="eastAsia" w:ascii="黑体" w:hAnsi="黑体" w:eastAsia="黑体"/>
          <w:color w:val="000000"/>
          <w:sz w:val="32"/>
          <w:szCs w:val="32"/>
          <w:highlight w:val="none"/>
        </w:rPr>
      </w:r>
      <w:r/>
    </w:p>
    <w:p>
      <w:pPr>
        <w:pStyle w:val="873"/>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磋商报价表</w:t>
      </w:r>
      <w:r>
        <w:rPr>
          <w:rFonts w:hint="eastAsia" w:ascii="方正小标宋简体" w:hAnsi="方正小标宋简体" w:eastAsia="方正小标宋简体" w:cs="方正小标宋简体"/>
          <w:color w:val="000000"/>
          <w:sz w:val="32"/>
          <w:szCs w:val="32"/>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 </w:t>
      </w:r>
      <w:r>
        <w:rPr>
          <w:rFonts w:hint="eastAsia" w:ascii="宋体" w:hAnsi="宋体"/>
          <w:color w:val="000000"/>
          <w:sz w:val="24"/>
          <w:szCs w:val="24"/>
          <w:highlight w:val="none"/>
        </w:rPr>
      </w:r>
      <w:r/>
    </w:p>
    <w:p>
      <w:pPr>
        <w:pStyle w:val="873"/>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采购包号：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4"/>
              <w:ind w:firstLine="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3"/>
        <w:rPr>
          <w:rFonts w:ascii="宋体" w:hAnsi="宋体"/>
          <w:color w:val="000000"/>
          <w:sz w:val="24"/>
          <w:szCs w:val="24"/>
          <w:highlight w:val="none"/>
        </w:rPr>
      </w:pPr>
      <w:r>
        <w:rPr>
          <w:rFonts w:ascii="宋体" w:hAnsi="宋体"/>
          <w:color w:val="000000"/>
          <w:sz w:val="24"/>
          <w:szCs w:val="24"/>
          <w:highlight w:val="none"/>
        </w:rPr>
      </w:r>
      <w:r/>
    </w:p>
    <w:p>
      <w:pPr>
        <w:pStyle w:val="873"/>
        <w:ind w:firstLine="480"/>
        <w:spacing w:line="48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73"/>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备注：供应商报价低于采购项目预算50%，或者低于采购项目最高限价45%，或者</w:t>
      </w:r>
      <w:r>
        <w:rPr>
          <w:rFonts w:hint="eastAsia" w:ascii="宋体" w:hAnsi="宋体"/>
          <w:b/>
          <w:bCs/>
          <w:color w:val="000000"/>
          <w:sz w:val="24"/>
          <w:szCs w:val="24"/>
          <w:highlight w:val="none"/>
          <w:lang w:val="zh-CN"/>
        </w:rPr>
        <w:t xml:space="preserve">报价</w:t>
      </w:r>
      <w:r>
        <w:rPr>
          <w:rFonts w:hint="eastAsia" w:ascii="宋体" w:hAnsi="宋体"/>
          <w:b/>
          <w:bCs/>
          <w:color w:val="000000"/>
          <w:sz w:val="24"/>
          <w:szCs w:val="24"/>
          <w:highlight w:val="none"/>
        </w:rPr>
        <w:t xml:space="preserve">过低</w:t>
      </w:r>
      <w:r>
        <w:rPr>
          <w:rFonts w:hint="eastAsia" w:ascii="宋体" w:hAnsi="宋体"/>
          <w:b/>
          <w:bCs/>
          <w:color w:val="000000"/>
          <w:sz w:val="24"/>
          <w:szCs w:val="24"/>
          <w:highlight w:val="none"/>
          <w:lang w:val="zh-CN"/>
        </w:rPr>
        <w:t xml:space="preserve">，有可能影响</w:t>
      </w:r>
      <w:r>
        <w:rPr>
          <w:rFonts w:hint="eastAsia" w:ascii="宋体" w:hAnsi="宋体"/>
          <w:b/>
          <w:bCs/>
          <w:color w:val="000000"/>
          <w:sz w:val="24"/>
          <w:szCs w:val="24"/>
          <w:highlight w:val="none"/>
        </w:rPr>
        <w:t xml:space="preserve">产品或服务</w:t>
      </w:r>
      <w:r>
        <w:rPr>
          <w:rFonts w:hint="eastAsia" w:ascii="宋体" w:hAnsi="宋体"/>
          <w:b/>
          <w:bCs/>
          <w:color w:val="000000"/>
          <w:sz w:val="24"/>
          <w:szCs w:val="24"/>
          <w:highlight w:val="none"/>
          <w:lang w:val="zh-CN"/>
        </w:rPr>
        <w:t xml:space="preserve">质量或不能诚信履约的，</w:t>
      </w:r>
      <w:r>
        <w:rPr>
          <w:rFonts w:hint="eastAsia" w:ascii="宋体" w:hAnsi="宋体"/>
          <w:b/>
          <w:bCs/>
          <w:color w:val="000000"/>
          <w:sz w:val="24"/>
          <w:szCs w:val="24"/>
          <w:highlight w:val="none"/>
        </w:rPr>
        <w:t xml:space="preserve">磋商小组将启动异常低价投标审查机制，供应商应</w:t>
      </w:r>
      <w:r>
        <w:rPr>
          <w:rFonts w:hint="eastAsia" w:ascii="宋体" w:hAnsi="宋体"/>
          <w:b/>
          <w:bCs/>
          <w:color w:val="000000"/>
          <w:sz w:val="24"/>
          <w:szCs w:val="24"/>
          <w:highlight w:val="none"/>
          <w:lang w:val="zh-CN"/>
        </w:rPr>
        <w:t xml:space="preserve">在</w:t>
      </w:r>
      <w:r>
        <w:rPr>
          <w:rFonts w:hint="eastAsia" w:ascii="宋体" w:hAnsi="宋体"/>
          <w:b/>
          <w:bCs/>
          <w:color w:val="000000"/>
          <w:sz w:val="24"/>
          <w:szCs w:val="24"/>
          <w:highlight w:val="none"/>
        </w:rPr>
        <w:t xml:space="preserve">磋商小组规定的合理</w:t>
      </w:r>
      <w:r>
        <w:rPr>
          <w:rFonts w:hint="eastAsia" w:ascii="宋体" w:hAnsi="宋体"/>
          <w:b/>
          <w:bCs/>
          <w:color w:val="000000"/>
          <w:sz w:val="24"/>
          <w:szCs w:val="24"/>
          <w:highlight w:val="none"/>
          <w:lang w:val="zh-CN"/>
        </w:rPr>
        <w:t xml:space="preserve">时间内</w:t>
      </w:r>
      <w:r>
        <w:rPr>
          <w:rFonts w:hint="eastAsia" w:ascii="宋体" w:hAnsi="宋体"/>
          <w:b/>
          <w:bCs/>
          <w:color w:val="000000"/>
          <w:sz w:val="24"/>
          <w:szCs w:val="24"/>
          <w:highlight w:val="none"/>
        </w:rPr>
        <w:t xml:space="preserve">通过苏采云系统</w:t>
      </w:r>
      <w:r>
        <w:rPr>
          <w:rFonts w:hint="eastAsia" w:ascii="宋体" w:hAnsi="宋体"/>
          <w:b/>
          <w:bCs/>
          <w:color w:val="000000"/>
          <w:sz w:val="24"/>
          <w:szCs w:val="24"/>
          <w:highlight w:val="none"/>
          <w:lang w:val="zh-CN"/>
        </w:rPr>
        <w:t xml:space="preserve">提供</w:t>
      </w:r>
      <w:r>
        <w:rPr>
          <w:rFonts w:hint="eastAsia" w:ascii="宋体" w:hAnsi="宋体"/>
          <w:b/>
          <w:bCs/>
          <w:color w:val="000000"/>
          <w:sz w:val="24"/>
          <w:szCs w:val="24"/>
          <w:highlight w:val="none"/>
        </w:rPr>
        <w:t xml:space="preserve">项目具体成本测算等与报价合理性相关的书面</w:t>
      </w:r>
      <w:r>
        <w:rPr>
          <w:rFonts w:hint="eastAsia" w:ascii="宋体" w:hAnsi="宋体"/>
          <w:b/>
          <w:bCs/>
          <w:color w:val="000000"/>
          <w:sz w:val="24"/>
          <w:szCs w:val="24"/>
          <w:highlight w:val="none"/>
          <w:lang w:val="zh-CN"/>
        </w:rPr>
        <w:t xml:space="preserve">说明</w:t>
      </w:r>
      <w:r>
        <w:rPr>
          <w:rFonts w:hint="eastAsia" w:ascii="宋体" w:hAnsi="宋体"/>
          <w:b/>
          <w:bCs/>
          <w:color w:val="000000"/>
          <w:sz w:val="24"/>
          <w:szCs w:val="24"/>
          <w:highlight w:val="none"/>
        </w:rPr>
        <w:t xml:space="preserve">及相关证明材料</w:t>
      </w:r>
      <w:r>
        <w:rPr>
          <w:rFonts w:hint="eastAsia" w:ascii="宋体" w:hAnsi="宋体"/>
          <w:b/>
          <w:bCs/>
          <w:color w:val="000000"/>
          <w:sz w:val="24"/>
          <w:szCs w:val="24"/>
          <w:highlight w:val="none"/>
          <w:lang w:val="zh-CN"/>
        </w:rPr>
        <w:t xml:space="preserve">。</w:t>
      </w:r>
      <w:r>
        <w:rPr>
          <w:rFonts w:hint="eastAsia" w:ascii="宋体" w:hAnsi="宋体"/>
          <w:b/>
          <w:bCs/>
          <w:color w:val="000000"/>
          <w:sz w:val="24"/>
          <w:szCs w:val="24"/>
          <w:highlight w:val="none"/>
        </w:rPr>
        <w:t xml:space="preserve">供应商不提供书面说明及证明材料，或者书面说明、证明材料</w:t>
      </w:r>
      <w:r>
        <w:rPr>
          <w:rFonts w:hint="eastAsia" w:ascii="宋体" w:hAnsi="宋体"/>
          <w:b/>
          <w:bCs/>
          <w:color w:val="000000"/>
          <w:sz w:val="24"/>
          <w:szCs w:val="24"/>
          <w:highlight w:val="none"/>
          <w:lang w:val="zh-CN"/>
        </w:rPr>
        <w:t xml:space="preserve">不能证明其报价合理性的，将作为无效</w:t>
      </w:r>
      <w:r>
        <w:rPr>
          <w:rFonts w:hint="eastAsia" w:ascii="宋体" w:hAnsi="宋体"/>
          <w:b/>
          <w:bCs/>
          <w:color w:val="000000"/>
          <w:sz w:val="24"/>
          <w:szCs w:val="24"/>
          <w:highlight w:val="none"/>
        </w:rPr>
        <w:t xml:space="preserve">响应</w:t>
      </w:r>
      <w:r>
        <w:rPr>
          <w:rFonts w:hint="eastAsia" w:ascii="宋体" w:hAnsi="宋体"/>
          <w:b/>
          <w:bCs/>
          <w:color w:val="000000"/>
          <w:sz w:val="24"/>
          <w:szCs w:val="24"/>
          <w:highlight w:val="none"/>
          <w:lang w:val="zh-CN"/>
        </w:rPr>
        <w:t xml:space="preserve">处理。</w:t>
      </w:r>
      <w:r>
        <w:rPr>
          <w:rFonts w:hint="eastAsia" w:ascii="宋体" w:hAnsi="宋体"/>
          <w:b/>
          <w:bCs/>
          <w:color w:val="000000"/>
          <w:sz w:val="24"/>
          <w:szCs w:val="24"/>
          <w:highlight w:val="none"/>
        </w:rPr>
      </w:r>
      <w:r/>
    </w:p>
    <w:p>
      <w:pPr>
        <w:pStyle w:val="943"/>
        <w:rPr>
          <w:rFonts w:hint="eastAsia"/>
          <w:color w:val="000000"/>
          <w:highlight w:val="none"/>
        </w:rPr>
      </w:pPr>
      <w:r>
        <w:rPr>
          <w:rFonts w:hint="eastAsia"/>
          <w:color w:val="000000"/>
          <w:highlight w:val="none"/>
        </w:rPr>
      </w:r>
      <w:r/>
    </w:p>
    <w:p>
      <w:pPr>
        <w:pStyle w:val="951"/>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3"/>
        <w:rPr>
          <w:rFonts w:hint="eastAsia"/>
          <w:color w:val="000000"/>
          <w:highlight w:val="none"/>
        </w:rPr>
      </w:pPr>
      <w:r>
        <w:rPr>
          <w:rFonts w:hint="eastAsia"/>
          <w:color w:val="000000"/>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73"/>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rPr>
          <w:rFonts w:hint="eastAsia" w:ascii="黑体" w:hAnsi="黑体" w:eastAsia="黑体" w:cs="Times New Roman"/>
          <w:color w:val="000000"/>
          <w:sz w:val="32"/>
          <w:szCs w:val="32"/>
          <w:highlight w:val="none"/>
          <w:lang w:val="en-US"/>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rPr>
          <w:rFonts w:hint="eastAsia" w:ascii="黑体" w:hAnsi="黑体" w:eastAsia="黑体" w:cs="Times New Roman"/>
          <w:color w:val="000000"/>
          <w:sz w:val="32"/>
          <w:szCs w:val="32"/>
          <w:highlight w:val="none"/>
          <w:lang w:val="en-US"/>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rPr>
          <w:rFonts w:hint="eastAsia" w:ascii="黑体" w:hAnsi="黑体" w:eastAsia="黑体" w:cs="Times New Roman"/>
          <w:color w:val="000000"/>
          <w:sz w:val="32"/>
          <w:szCs w:val="32"/>
          <w:highlight w:val="none"/>
          <w:lang w:val="en-US"/>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rPr>
          <w:rFonts w:hint="eastAsia" w:ascii="黑体" w:hAnsi="黑体" w:eastAsia="黑体" w:cs="Times New Roman"/>
          <w:color w:val="000000"/>
          <w:sz w:val="32"/>
          <w:szCs w:val="32"/>
          <w:highlight w:val="none"/>
          <w:lang w:val="en-US"/>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rPr>
          <w:rFonts w:hint="eastAsia" w:ascii="黑体" w:hAnsi="黑体" w:eastAsia="黑体" w:cs="Times New Roman"/>
          <w:color w:val="000000"/>
          <w:sz w:val="32"/>
          <w:szCs w:val="32"/>
          <w:highlight w:val="none"/>
          <w:lang w:val="en-US"/>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73"/>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5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73"/>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3"/>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六、分项报价表</w:t>
      </w:r>
      <w:r>
        <w:rPr>
          <w:rFonts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分项报价表</w:t>
      </w:r>
      <w:r>
        <w:rPr>
          <w:rFonts w:hint="eastAsia" w:ascii="方正小标宋简体" w:hAnsi="方正小标宋简体" w:eastAsia="方正小标宋简体" w:cs="方正小标宋简体"/>
          <w:color w:val="000000"/>
          <w:sz w:val="32"/>
          <w:szCs w:val="32"/>
          <w:highlight w:val="none"/>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6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4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35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3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695" w:type="dxa"/>
            <w:vAlign w:val="center"/>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r>
      <w:tr>
        <w:trPr>
          <w:cantSplit/>
          <w:trHeight w:val="570"/>
        </w:trPr>
        <w:tc>
          <w:tcPr>
            <w:tcW w:w="581" w:type="dxa"/>
            <w:vAlign w:val="center"/>
            <w:vMerge w:val="continue"/>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6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14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11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5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1320" w:type="dxa"/>
            <w:vAlign w:val="center"/>
            <w:textDirection w:val="lrTb"/>
            <w:noWrap w:val="false"/>
          </w:tcPr>
          <w:p>
            <w:pPr>
              <w:pStyle w:val="873"/>
              <w:jc w:val="center"/>
              <w:spacing w:line="0" w:lineRule="atLeast"/>
              <w:rPr>
                <w:color w:val="000000"/>
                <w:highlight w:val="none"/>
              </w:rPr>
            </w:pPr>
            <w:r>
              <w:rPr>
                <w:rFonts w:hint="eastAsia" w:ascii="宋体" w:hAnsi="宋体"/>
                <w:color w:val="000000"/>
                <w:sz w:val="24"/>
                <w:szCs w:val="24"/>
                <w:highlight w:val="none"/>
              </w:rPr>
              <w:t xml:space="preserve">单价（元）</w:t>
            </w:r>
            <w:r>
              <w:rPr>
                <w:color w:val="000000"/>
                <w:highlight w:val="none"/>
              </w:rPr>
            </w:r>
            <w:r/>
          </w:p>
        </w:tc>
        <w:tc>
          <w:tcPr>
            <w:tcW w:w="169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6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5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9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6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5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9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6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5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9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62" w:type="dxa"/>
            <w:vAlign w:val="center"/>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总报价（元）</w:t>
            </w:r>
            <w:r>
              <w:rPr>
                <w:rFonts w:ascii="宋体" w:hAnsi="宋体"/>
                <w:color w:val="000000"/>
                <w:sz w:val="24"/>
                <w:szCs w:val="24"/>
                <w:highlight w:val="none"/>
              </w:rPr>
            </w:r>
            <w:r/>
          </w:p>
        </w:tc>
        <w:tc>
          <w:tcPr>
            <w:gridSpan w:val="5"/>
            <w:tcW w:w="697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spacing w:before="0" w:beforeAutospacing="0" w:after="0" w:afterAutospacing="0"/>
        <w:rPr>
          <w:color w:val="000000"/>
          <w:highlight w:val="none"/>
        </w:rPr>
      </w:pPr>
      <w:r>
        <w:rPr>
          <w:color w:val="000000"/>
          <w:highlight w:val="none"/>
        </w:rPr>
      </w:r>
      <w:r/>
    </w:p>
    <w:p>
      <w:pPr>
        <w:pStyle w:val="873"/>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3"/>
        <w:spacing w:line="360" w:lineRule="auto"/>
        <w:rPr>
          <w:rFonts w:ascii="宋体" w:hAnsi="宋体"/>
          <w:color w:val="000000"/>
          <w:sz w:val="24"/>
          <w:highlight w:val="none"/>
        </w:rPr>
      </w:pPr>
      <w:r>
        <w:rPr>
          <w:rFonts w:ascii="宋体" w:hAnsi="宋体"/>
          <w:color w:val="000000"/>
          <w:sz w:val="24"/>
          <w:highlight w:val="none"/>
        </w:rPr>
      </w:r>
      <w:r/>
    </w:p>
    <w:p>
      <w:pPr>
        <w:pStyle w:val="937"/>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1.“总报价”应包括为完成整个项目所产生的所有费用，采购文件另有规定的除外。</w:t>
      </w:r>
      <w:r>
        <w:rPr>
          <w:rFonts w:hint="eastAsia"/>
          <w:color w:val="000000"/>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2.《分项报价表》中“总报价”应当与《磋商报价表》中“总报价”一致。</w:t>
      </w:r>
      <w:r>
        <w:rPr>
          <w:rFonts w:hint="eastAsia"/>
          <w:color w:val="000000"/>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3.《分项报价表》中的分项名称须与“第四章-项目清单”中的名称一一对应，如有缺项、漏项或者超出单价上限的，视为无效响应。</w:t>
      </w:r>
      <w:r>
        <w:rPr>
          <w:rFonts w:hint="eastAsia"/>
          <w:color w:val="000000"/>
          <w:highlight w:val="none"/>
        </w:rPr>
        <w:t xml:space="preserve">“项目清单”中分项仅为一项的，此表无需提供。</w:t>
      </w:r>
      <w:r>
        <w:rPr>
          <w:rFonts w:hint="eastAsia"/>
          <w:color w:val="000000"/>
          <w:highlight w:val="none"/>
        </w:rPr>
      </w:r>
      <w:r/>
    </w:p>
    <w:p>
      <w:pPr>
        <w:pStyle w:val="937"/>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color w:val="000000"/>
          <w:highlight w:val="none"/>
        </w:rPr>
      </w:r>
      <w:r/>
    </w:p>
    <w:p>
      <w:pPr>
        <w:pStyle w:val="873"/>
        <w:rPr>
          <w:rFonts w:hint="eastAsia" w:ascii="黑体" w:hAnsi="黑体" w:eastAsia="黑体"/>
          <w:iCs/>
          <w:color w:val="000000"/>
          <w:sz w:val="32"/>
          <w:szCs w:val="32"/>
          <w:highlight w:val="none"/>
        </w:rPr>
      </w:pPr>
      <w:r>
        <w:rPr>
          <w:rFonts w:hint="eastAsia" w:ascii="黑体" w:hAnsi="黑体" w:eastAsia="黑体"/>
          <w:i/>
          <w:color w:val="000000"/>
          <w:sz w:val="32"/>
          <w:szCs w:val="32"/>
          <w:highlight w:val="none"/>
          <w:u w:val="single"/>
        </w:rPr>
        <w:br w:type="page" w:clear="all"/>
      </w:r>
      <w:bookmarkEnd w:id="16"/>
      <w:r/>
      <w:bookmarkEnd w:id="17"/>
      <w:r/>
      <w:bookmarkEnd w:id="33"/>
      <w:r>
        <w:rPr>
          <w:rFonts w:hint="eastAsia" w:ascii="黑体" w:hAnsi="黑体" w:eastAsia="黑体"/>
          <w:iCs/>
          <w:color w:val="000000"/>
          <w:sz w:val="32"/>
          <w:szCs w:val="32"/>
          <w:highlight w:val="none"/>
        </w:rPr>
        <w:t xml:space="preserve">七、技术要求响应及偏离表</w:t>
      </w:r>
      <w:r>
        <w:rPr>
          <w:rFonts w:hint="eastAsia" w:ascii="黑体" w:hAnsi="黑体" w:eastAsia="黑体"/>
          <w:iCs/>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873"/>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spacing w:before="0" w:beforeAutospacing="0" w:after="0" w:afterAutospacing="0"/>
        <w:rPr>
          <w:color w:val="000000"/>
          <w:highlight w:val="none"/>
        </w:rPr>
      </w:pPr>
      <w:r>
        <w:rPr>
          <w:color w:val="000000"/>
          <w:highlight w:val="none"/>
        </w:rPr>
      </w:r>
      <w:r/>
    </w:p>
    <w:p>
      <w:pPr>
        <w:pStyle w:val="873"/>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1.供应商须对磋商文件技术要求中的实质性要求（斜体下划线内容或打“★”内容）及其他要求做出明确响应，否则视为无效响应。</w:t>
      </w:r>
      <w:r>
        <w:rPr>
          <w:rFonts w:hint="eastAsia"/>
          <w:color w:val="000000"/>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color w:val="000000"/>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jc w:val="center"/>
        <w:rPr>
          <w:rFonts w:hint="eastAsia" w:ascii="黑体" w:hAnsi="Arial" w:eastAsia="黑体"/>
          <w:b/>
          <w:bCs/>
          <w:color w:val="000000"/>
          <w:sz w:val="36"/>
          <w:szCs w:val="36"/>
          <w:highlight w:val="none"/>
        </w:rPr>
      </w:pPr>
      <w:r>
        <w:rPr>
          <w:rFonts w:hint="eastAsia" w:ascii="黑体" w:hAnsi="Arial" w:eastAsia="黑体"/>
          <w:b/>
          <w:color w:val="000000"/>
          <w:sz w:val="36"/>
          <w:szCs w:val="21"/>
          <w:highlight w:val="none"/>
        </w:rPr>
      </w:r>
      <w:r>
        <w:rPr>
          <w:rFonts w:hint="eastAsia" w:ascii="黑体" w:hAnsi="Arial" w:eastAsia="黑体"/>
          <w:b/>
          <w:color w:val="000000"/>
          <w:sz w:val="36"/>
          <w:szCs w:val="21"/>
          <w:highlight w:val="none"/>
        </w:rPr>
      </w:r>
      <w:r/>
    </w:p>
    <w:p>
      <w:pPr>
        <w:jc w:val="center"/>
        <w:rPr>
          <w:rFonts w:hint="eastAsia" w:ascii="黑体" w:hAnsi="Arial" w:eastAsia="黑体"/>
          <w:b/>
          <w:bCs/>
          <w:color w:val="000000"/>
          <w:sz w:val="36"/>
          <w:szCs w:val="36"/>
          <w:highlight w:val="none"/>
        </w:rPr>
      </w:pPr>
      <w:r>
        <w:rPr>
          <w:rFonts w:hint="eastAsia" w:ascii="黑体" w:hAnsi="Arial" w:eastAsia="黑体"/>
          <w:b/>
          <w:bCs/>
          <w:color w:val="000000"/>
          <w:sz w:val="36"/>
          <w:szCs w:val="36"/>
          <w:highlight w:val="none"/>
        </w:rPr>
      </w:r>
      <w:r>
        <w:rPr>
          <w:rFonts w:hint="eastAsia" w:ascii="黑体" w:hAnsi="Arial" w:eastAsia="黑体"/>
          <w:b/>
          <w:bCs/>
          <w:color w:val="000000"/>
          <w:sz w:val="36"/>
          <w:szCs w:val="36"/>
          <w:highlight w:val="none"/>
        </w:rPr>
      </w:r>
      <w:r/>
    </w:p>
    <w:p>
      <w:pPr>
        <w:jc w:val="center"/>
        <w:rPr>
          <w:rFonts w:hint="eastAsia" w:ascii="黑体" w:hAnsi="Arial" w:eastAsia="黑体"/>
          <w:b/>
          <w:bCs/>
          <w:color w:val="000000"/>
          <w:sz w:val="36"/>
          <w:szCs w:val="36"/>
          <w:highlight w:val="none"/>
        </w:rPr>
      </w:pPr>
      <w:r>
        <w:rPr>
          <w:rFonts w:hint="eastAsia" w:ascii="黑体" w:hAnsi="Arial" w:eastAsia="黑体"/>
          <w:b/>
          <w:bCs/>
          <w:color w:val="000000"/>
          <w:sz w:val="36"/>
          <w:szCs w:val="36"/>
          <w:highlight w:val="none"/>
        </w:rPr>
      </w:r>
      <w:r>
        <w:rPr>
          <w:rFonts w:hint="eastAsia" w:ascii="黑体" w:hAnsi="Arial" w:eastAsia="黑体"/>
          <w:b/>
          <w:bCs/>
          <w:color w:val="000000"/>
          <w:sz w:val="36"/>
          <w:szCs w:val="36"/>
          <w:highlight w:val="none"/>
        </w:rPr>
      </w:r>
      <w:r/>
    </w:p>
    <w:p>
      <w:pPr>
        <w:pStyle w:val="873"/>
        <w:jc w:val="center"/>
        <w:rPr>
          <w:rFonts w:hint="eastAsia" w:ascii="黑体" w:hAnsi="Arial" w:eastAsia="黑体"/>
          <w:b/>
          <w:bCs/>
          <w:color w:val="000000"/>
          <w:sz w:val="36"/>
          <w:szCs w:val="36"/>
          <w:highlight w:val="none"/>
        </w:rPr>
      </w:pPr>
      <w:r>
        <w:rPr>
          <w:rFonts w:hint="eastAsia" w:ascii="黑体" w:hAnsi="Arial" w:eastAsia="黑体"/>
          <w:b/>
          <w:color w:val="000000"/>
          <w:sz w:val="36"/>
          <w:szCs w:val="21"/>
          <w:highlight w:val="none"/>
        </w:rPr>
      </w:r>
      <w:r/>
    </w:p>
    <w:p>
      <w:pPr>
        <w:pStyle w:val="873"/>
        <w:rPr>
          <w:rFonts w:hint="eastAsia" w:ascii="黑体" w:hAnsi="黑体" w:eastAsia="黑体"/>
          <w:iCs/>
          <w:color w:val="000000"/>
          <w:sz w:val="32"/>
          <w:szCs w:val="32"/>
          <w:highlight w:val="none"/>
        </w:rPr>
      </w:pPr>
      <w:r/>
      <w:bookmarkStart w:id="37" w:name="_Hlt26955054"/>
      <w:r/>
      <w:bookmarkEnd w:id="37"/>
      <w:r>
        <w:rPr>
          <w:rFonts w:hint="eastAsia" w:ascii="黑体" w:hAnsi="黑体" w:eastAsia="黑体"/>
          <w:iCs/>
          <w:color w:val="000000"/>
          <w:sz w:val="32"/>
          <w:szCs w:val="32"/>
          <w:highlight w:val="none"/>
        </w:rPr>
      </w:r>
      <w:r/>
    </w:p>
    <w:p>
      <w:pPr>
        <w:pStyle w:val="873"/>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八、商务要求响应及偏离表</w:t>
      </w:r>
      <w:r>
        <w:rPr>
          <w:rFonts w:hint="eastAsia" w:ascii="黑体" w:hAnsi="黑体" w:eastAsia="黑体"/>
          <w:iCs/>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38" w:name="_Hlt24879081"/>
            <w:r/>
            <w:bookmarkEnd w:id="38"/>
            <w:r/>
            <w:bookmarkStart w:id="39" w:name="_Hlt26955064"/>
            <w:r/>
            <w:bookmarkEnd w:id="39"/>
            <w:r/>
            <w:bookmarkStart w:id="40" w:name="_Hlt26671372"/>
            <w:r/>
            <w:bookmarkEnd w:id="40"/>
            <w:r/>
            <w:bookmarkStart w:id="41" w:name="_Hlt26609391"/>
            <w:r/>
            <w:bookmarkEnd w:id="41"/>
            <w:r/>
            <w:bookmarkStart w:id="42" w:name="_Hlt26580838"/>
            <w:r/>
            <w:bookmarkEnd w:id="42"/>
            <w:r/>
            <w:bookmarkStart w:id="43" w:name="_Hlt26955056"/>
            <w:r/>
            <w:bookmarkEnd w:id="43"/>
            <w:r/>
            <w:bookmarkStart w:id="44" w:name="_Hlt26671343"/>
            <w:r/>
            <w:bookmarkEnd w:id="44"/>
            <w:r/>
            <w:bookmarkStart w:id="45" w:name="_Hlt26782999"/>
            <w:r/>
            <w:bookmarkEnd w:id="4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873"/>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7"/>
        <w:jc w:val="both"/>
        <w:spacing w:before="0" w:beforeAutospacing="0" w:after="0" w:afterAutospacing="0"/>
        <w:rPr>
          <w:color w:val="000000"/>
          <w:highlight w:val="none"/>
        </w:rPr>
      </w:pPr>
      <w:r>
        <w:rPr>
          <w:color w:val="000000"/>
          <w:highlight w:val="none"/>
        </w:rPr>
      </w:r>
      <w:r/>
    </w:p>
    <w:p>
      <w:pPr>
        <w:pStyle w:val="873"/>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37"/>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1.供应商须对磋商文件商务要求中的实质性要求（斜体下划线内容或打“★”内容）做出明确响应，否则视为无效响应。</w:t>
      </w:r>
      <w:r>
        <w:rPr>
          <w:color w:val="000000"/>
          <w:highlight w:val="none"/>
        </w:rPr>
      </w:r>
      <w:r/>
    </w:p>
    <w:p>
      <w:pPr>
        <w:pStyle w:val="93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73"/>
        <w:rPr>
          <w:color w:val="000000"/>
          <w:highlight w:val="none"/>
        </w:rPr>
      </w:pPr>
      <w:r>
        <w:rPr>
          <w:color w:val="000000"/>
          <w:highlight w:val="none"/>
        </w:rPr>
      </w:r>
      <w:r/>
    </w:p>
    <w:p>
      <w:pPr>
        <w:pStyle w:val="943"/>
        <w:rPr>
          <w:color w:val="000000"/>
          <w:highlight w:val="none"/>
        </w:rPr>
      </w:pPr>
      <w:r>
        <w:rPr>
          <w:color w:val="000000"/>
          <w:highlight w:val="none"/>
        </w:rPr>
      </w:r>
      <w:r/>
    </w:p>
    <w:p>
      <w:pPr>
        <w:pStyle w:val="873"/>
        <w:rPr>
          <w:color w:val="000000"/>
          <w:highlight w:val="none"/>
        </w:rPr>
      </w:pPr>
      <w:r>
        <w:rPr>
          <w:color w:val="000000"/>
          <w:highlight w:val="none"/>
        </w:rPr>
      </w:r>
      <w:r/>
    </w:p>
    <w:p>
      <w:pPr>
        <w:pStyle w:val="94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九、中小企业声明函</w:t>
      </w:r>
      <w:r>
        <w:rPr>
          <w:rFonts w:hint="eastAsia" w:ascii="黑体" w:hAnsi="黑体" w:eastAsia="黑体"/>
          <w:iCs/>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873"/>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73"/>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7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5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spacing w:line="360" w:lineRule="auto"/>
        <w:rPr>
          <w:rFonts w:hint="eastAsia"/>
          <w:color w:val="000000"/>
          <w:highlight w:val="none"/>
        </w:rPr>
      </w:pPr>
      <w:r>
        <w:rPr>
          <w:rFonts w:hint="eastAsia"/>
          <w:color w:val="000000"/>
          <w:highlight w:val="none"/>
        </w:rPr>
      </w:r>
      <w:r/>
    </w:p>
    <w:p>
      <w:pPr>
        <w:pStyle w:val="873"/>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3"/>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ind w:firstLine="48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highlight w:val="none"/>
        </w:rPr>
      </w:r>
      <w:r/>
    </w:p>
    <w:p>
      <w:pPr>
        <w:pStyle w:val="873"/>
        <w:jc w:val="left"/>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73"/>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spacing w:line="360" w:lineRule="auto"/>
        <w:rPr>
          <w:rFonts w:hint="eastAsia"/>
          <w:color w:val="000000"/>
          <w:highlight w:val="none"/>
        </w:rPr>
      </w:pPr>
      <w:r>
        <w:rPr>
          <w:rFonts w:hint="eastAsia"/>
          <w:color w:val="000000"/>
          <w:highlight w:val="none"/>
        </w:rPr>
      </w:r>
      <w:r/>
    </w:p>
    <w:p>
      <w:pPr>
        <w:pStyle w:val="873"/>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3"/>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1.供应商如不提供此声明函，价格将不做相应扣除。</w:t>
      </w:r>
      <w:r>
        <w:rPr>
          <w:rFonts w:hint="eastAsia" w:ascii="宋体" w:hAnsi="宋体"/>
          <w:color w:val="000000"/>
          <w:sz w:val="24"/>
          <w:highlight w:val="none"/>
        </w:rPr>
      </w:r>
      <w:r/>
    </w:p>
    <w:p>
      <w:pPr>
        <w:pStyle w:val="87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2.成交供应商为残疾人福利性单位的，此声明函将随成交结果同时公告，接受社会监督。</w:t>
      </w:r>
      <w:r>
        <w:rPr>
          <w:rFonts w:ascii="宋体" w:hAnsi="宋体"/>
          <w:color w:val="000000"/>
          <w:sz w:val="24"/>
          <w:highlight w:val="none"/>
        </w:rPr>
      </w:r>
      <w:r/>
    </w:p>
    <w:p>
      <w:pPr>
        <w:pStyle w:val="873"/>
        <w:ind w:firstLine="480"/>
        <w:spacing w:line="480" w:lineRule="exact"/>
        <w:rPr>
          <w:rFonts w:ascii="宋体" w:hAnsi="宋体"/>
          <w:color w:val="000000"/>
          <w:sz w:val="24"/>
          <w:highlight w:val="none"/>
        </w:rPr>
      </w:pPr>
      <w:r>
        <w:rPr>
          <w:rFonts w:ascii="宋体" w:hAnsi="宋体"/>
          <w:color w:val="000000"/>
          <w:sz w:val="24"/>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3"/>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十一、联合体协议</w:t>
      </w:r>
      <w:r>
        <w:rPr>
          <w:rFonts w:hint="eastAsia" w:ascii="黑体" w:hAnsi="黑体" w:eastAsia="黑体"/>
          <w:iCs/>
          <w:color w:val="00000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73"/>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3"/>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73"/>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.若我们联合成交，</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3"/>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3"/>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3"/>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3"/>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3.除另有说明外，本磋商文件要求加盖电子公章之处，加盖牵头单位的电子公章即可。</w:t>
      </w:r>
      <w:r>
        <w:rPr>
          <w:rFonts w:hint="eastAsia" w:ascii="宋体" w:hAnsi="宋体"/>
          <w:color w:val="000000"/>
          <w:sz w:val="24"/>
          <w:highlight w:val="none"/>
        </w:rPr>
      </w:r>
      <w:r/>
    </w:p>
    <w:p>
      <w:pPr>
        <w:pStyle w:val="943"/>
        <w:ind w:firstLine="480"/>
        <w:rPr>
          <w:rFonts w:hint="eastAsia"/>
          <w:color w:val="000000"/>
          <w:sz w:val="24"/>
          <w:highlight w:val="none"/>
        </w:rPr>
      </w:pPr>
      <w:r>
        <w:rPr>
          <w:rFonts w:hint="eastAsia"/>
          <w:color w:val="000000"/>
          <w:sz w:val="24"/>
          <w:highlight w:val="none"/>
        </w:rPr>
      </w:r>
      <w:r/>
    </w:p>
    <w:p>
      <w:pPr>
        <w:pStyle w:val="873"/>
        <w:rPr>
          <w:rFonts w:hint="eastAsia"/>
          <w:color w:val="000000"/>
          <w:highlight w:val="none"/>
        </w:rPr>
      </w:pPr>
      <w:r>
        <w:rPr>
          <w:rFonts w:hint="eastAsia"/>
          <w:color w:val="000000"/>
          <w:highlight w:val="none"/>
        </w:rPr>
      </w:r>
      <w:r/>
    </w:p>
    <w:p>
      <w:pPr>
        <w:pStyle w:val="873"/>
        <w:ind w:firstLine="645"/>
        <w:spacing w:line="560" w:lineRule="exact"/>
        <w:rPr>
          <w:rFonts w:ascii="宋体" w:hAnsi="宋体"/>
          <w:color w:val="000000"/>
          <w:sz w:val="24"/>
          <w:highlight w:val="none"/>
        </w:rPr>
      </w:pPr>
      <w:r>
        <w:rPr>
          <w:rFonts w:ascii="宋体" w:hAnsi="宋体"/>
          <w:color w:val="000000"/>
          <w:sz w:val="24"/>
          <w:highlight w:val="none"/>
        </w:rPr>
      </w:r>
      <w:r/>
    </w:p>
    <w:p>
      <w:pPr>
        <w:pStyle w:val="873"/>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51"/>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szCs w:val="24"/>
          <w:highlight w:val="none"/>
        </w:rPr>
      </w:pPr>
      <w:r>
        <w:rPr>
          <w:rFonts w:hint="eastAsia" w:ascii="宋体" w:hAnsi="宋体"/>
          <w:color w:val="000000"/>
          <w:sz w:val="24"/>
          <w:highlight w:val="none"/>
        </w:rPr>
      </w:r>
      <w:r>
        <w:rPr>
          <w:rFonts w:hint="eastAsia" w:ascii="宋体" w:hAnsi="宋体"/>
          <w:color w:val="000000"/>
          <w:sz w:val="24"/>
          <w:highlight w:val="none"/>
        </w:rPr>
      </w:r>
      <w:r/>
    </w:p>
    <w:p>
      <w:pPr>
        <w:pStyle w:val="873"/>
        <w:rPr>
          <w:rFonts w:hint="eastAsia" w:ascii="宋体" w:hAnsi="宋体"/>
          <w:color w:val="000000"/>
          <w:sz w:val="24"/>
          <w:szCs w:val="24"/>
          <w:highlight w:val="none"/>
        </w:rPr>
      </w:pPr>
      <w:r>
        <w:rPr>
          <w:rFonts w:hint="eastAsia" w:ascii="宋体" w:hAnsi="宋体"/>
          <w:color w:val="000000"/>
          <w:sz w:val="24"/>
          <w:highlight w:val="none"/>
        </w:rPr>
      </w:r>
      <w:r/>
    </w:p>
    <w:p>
      <w:pPr>
        <w:pStyle w:val="951"/>
        <w:rPr>
          <w:rFonts w:hint="eastAsia"/>
          <w:color w:val="000000"/>
          <w:highlight w:val="none"/>
        </w:rPr>
      </w:pPr>
      <w:r>
        <w:rPr>
          <w:rFonts w:hint="eastAsia"/>
          <w:color w:val="000000"/>
          <w:highlight w:val="none"/>
        </w:rPr>
      </w:r>
      <w:r/>
    </w:p>
    <w:p>
      <w:pPr>
        <w:pStyle w:val="873"/>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十二、分包承诺书</w:t>
      </w:r>
      <w:r>
        <w:rPr>
          <w:rFonts w:hint="eastAsia" w:ascii="黑体" w:hAnsi="黑体" w:eastAsia="黑体"/>
          <w:iCs/>
          <w:color w:val="000000"/>
          <w:sz w:val="32"/>
          <w:szCs w:val="32"/>
          <w:highlight w:val="none"/>
        </w:rPr>
      </w:r>
      <w:r/>
    </w:p>
    <w:p>
      <w:pPr>
        <w:pStyle w:val="873"/>
        <w:rPr>
          <w:rFonts w:hint="eastAsia"/>
          <w:color w:val="000000"/>
          <w:highlight w:val="none"/>
        </w:rPr>
      </w:pPr>
      <w:r>
        <w:rPr>
          <w:rFonts w:hint="eastAsia"/>
          <w:color w:val="000000"/>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zh-CN"/>
        </w:rPr>
      </w:pPr>
      <w:r>
        <w:rPr>
          <w:rFonts w:hint="eastAsia" w:ascii="方正小标宋简体" w:hAnsi="方正小标宋简体" w:eastAsia="方正小标宋简体" w:cs="方正小标宋简体"/>
          <w:color w:val="000000"/>
          <w:sz w:val="32"/>
          <w:szCs w:val="32"/>
          <w:highlight w:val="none"/>
          <w:lang w:val="zh-CN"/>
        </w:rPr>
        <w:t xml:space="preserve">分包承诺书</w:t>
      </w:r>
      <w:r>
        <w:rPr>
          <w:rFonts w:hint="eastAsia" w:ascii="方正小标宋简体" w:hAnsi="方正小标宋简体" w:eastAsia="方正小标宋简体" w:cs="方正小标宋简体"/>
          <w:color w:val="000000"/>
          <w:sz w:val="32"/>
          <w:szCs w:val="32"/>
          <w:highlight w:val="none"/>
          <w:lang w:val="zh-CN"/>
        </w:rPr>
      </w:r>
      <w:r/>
    </w:p>
    <w:p>
      <w:pPr>
        <w:pStyle w:val="873"/>
        <w:ind w:firstLine="2640"/>
        <w:spacing w:line="48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p>
    <w:p>
      <w:pPr>
        <w:pStyle w:val="873"/>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rPr>
      </w:r>
      <w:r/>
    </w:p>
    <w:p>
      <w:pPr>
        <w:pStyle w:val="873"/>
        <w:ind w:firstLine="480"/>
        <w:jc w:val="lef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（供应商名称）郑重承诺：</w:t>
      </w:r>
      <w:r>
        <w:rPr>
          <w:rFonts w:hint="eastAsia" w:ascii="宋体" w:hAnsi="宋体" w:cs="宋体"/>
          <w:color w:val="000000"/>
          <w:sz w:val="24"/>
          <w:szCs w:val="24"/>
          <w:highlight w:val="none"/>
        </w:rPr>
      </w:r>
      <w:r/>
    </w:p>
    <w:p>
      <w:pPr>
        <w:pStyle w:val="873"/>
        <w:ind w:firstLine="480"/>
        <w:jc w:val="lef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如我公司中标（成交）</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（项目名称）项目，拟将项目中的</w:t>
      </w:r>
      <w:r>
        <w:rPr>
          <w:rFonts w:hint="eastAsia" w:ascii="宋体" w:hAnsi="宋体" w:cs="宋体"/>
          <w:color w:val="000000"/>
          <w:sz w:val="24"/>
          <w:szCs w:val="24"/>
          <w:highlight w:val="none"/>
        </w:rPr>
      </w:r>
      <w:r/>
    </w:p>
    <w:p>
      <w:pPr>
        <w:pStyle w:val="873"/>
        <w:jc w:val="lef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建设内容，分包给具有相应资质的供应商实施，并在签订合同时提供分包意向协议。</w:t>
      </w:r>
      <w:r>
        <w:rPr>
          <w:rFonts w:hint="eastAsia" w:ascii="宋体" w:hAnsi="宋体" w:cs="宋体"/>
          <w:color w:val="000000"/>
          <w:sz w:val="24"/>
          <w:szCs w:val="24"/>
          <w:highlight w:val="none"/>
        </w:rPr>
      </w:r>
      <w:r/>
    </w:p>
    <w:p>
      <w:pPr>
        <w:pStyle w:val="873"/>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3"/>
        <w:ind w:right="180" w:firstLine="360"/>
        <w:jc w:val="righ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供应商名称：（加盖电子公章）</w:t>
      </w:r>
      <w:r>
        <w:rPr>
          <w:rFonts w:hint="eastAsia" w:ascii="宋体" w:hAnsi="宋体" w:cs="宋体"/>
          <w:color w:val="000000"/>
          <w:sz w:val="24"/>
          <w:szCs w:val="24"/>
          <w:highlight w:val="none"/>
        </w:rPr>
      </w:r>
      <w:r/>
    </w:p>
    <w:p>
      <w:pPr>
        <w:pStyle w:val="873"/>
        <w:jc w:val="center"/>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rFonts w:hint="eastAsia" w:ascii="宋体" w:hAnsi="宋体" w:cs="宋体"/>
          <w:color w:val="000000"/>
          <w:sz w:val="24"/>
          <w:szCs w:val="24"/>
          <w:highlight w:val="none"/>
        </w:rPr>
      </w:r>
      <w:r/>
    </w:p>
    <w:p>
      <w:pPr>
        <w:pStyle w:val="873"/>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73"/>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73"/>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73"/>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73"/>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rPr>
          <w:rFonts w:hint="eastAsia" w:ascii="方正小标宋简体" w:hAnsi="方正小标宋简体" w:eastAsia="方正小标宋简体" w:cs="方正小标宋简体"/>
          <w:color w:val="000000"/>
          <w:sz w:val="32"/>
          <w:szCs w:val="32"/>
          <w:highlight w:val="none"/>
        </w:rPr>
      </w:r>
      <w:r/>
    </w:p>
    <w:p>
      <w:pPr>
        <w:pStyle w:val="943"/>
        <w:ind w:firstLine="64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73"/>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3"/>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3"/>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73"/>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１４</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2"/>
      <w:lang w:val="en-US" w:eastAsia="zh-CN" w:bidi="ar-SA"/>
    </w:rPr>
  </w:style>
  <w:style w:type="paragraph" w:styleId="874">
    <w:name w:val="标题 1"/>
    <w:basedOn w:val="873"/>
    <w:next w:val="873"/>
    <w:link w:val="885"/>
    <w:qFormat/>
    <w:pPr>
      <w:jc w:val="center"/>
      <w:keepNext/>
      <w:outlineLvl w:val="0"/>
    </w:pPr>
    <w:rPr>
      <w:rFonts w:ascii="楷体_GB2312" w:hAnsi="Times New Roman" w:eastAsia="楷体_GB2312" w:cs="Times New Roman"/>
      <w:sz w:val="28"/>
      <w:szCs w:val="28"/>
    </w:rPr>
  </w:style>
  <w:style w:type="paragraph" w:styleId="875">
    <w:name w:val="标题 2"/>
    <w:basedOn w:val="873"/>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7"/>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7"/>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7"/>
    <w:link w:val="891"/>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qFormat/>
    <w:tblPr/>
  </w:style>
  <w:style w:type="character" w:styleId="885">
    <w:name w:val="标题 1 字符"/>
    <w:next w:val="885"/>
    <w:link w:val="874"/>
    <w:rPr>
      <w:rFonts w:ascii="楷体_GB2312" w:hAnsi="Times New Roman" w:eastAsia="楷体_GB2312" w:cs="Times New Roman"/>
      <w:sz w:val="28"/>
      <w:szCs w:val="28"/>
    </w:rPr>
  </w:style>
  <w:style w:type="character" w:styleId="886">
    <w:name w:val="标题 2 字符"/>
    <w:next w:val="886"/>
    <w:link w:val="875"/>
    <w:qFormat/>
    <w:rPr>
      <w:rFonts w:ascii="Arial" w:hAnsi="Arial" w:eastAsia="幼圆" w:cs="Arial"/>
      <w:b/>
      <w:bCs/>
      <w:sz w:val="44"/>
      <w:szCs w:val="44"/>
    </w:rPr>
  </w:style>
  <w:style w:type="paragraph" w:styleId="887">
    <w:name w:val="正文缩进"/>
    <w:basedOn w:val="873"/>
    <w:next w:val="887"/>
    <w:link w:val="888"/>
    <w:qFormat/>
    <w:pPr>
      <w:ind w:firstLine="420"/>
    </w:pPr>
    <w:rPr>
      <w:szCs w:val="21"/>
    </w:rPr>
  </w:style>
  <w:style w:type="character" w:styleId="888">
    <w:name w:val="正文缩进 字符"/>
    <w:next w:val="888"/>
    <w:link w:val="887"/>
    <w:qFormat/>
    <w:rPr>
      <w:szCs w:val="21"/>
    </w:rPr>
  </w:style>
  <w:style w:type="character" w:styleId="889">
    <w:name w:val="标题 3 字符"/>
    <w:next w:val="889"/>
    <w:link w:val="876"/>
    <w:qFormat/>
    <w:rPr>
      <w:rFonts w:ascii="Times New Roman" w:hAnsi="Times New Roman" w:eastAsia="宋体" w:cs="Times New Roman"/>
      <w:b/>
      <w:bCs/>
      <w:sz w:val="32"/>
      <w:szCs w:val="32"/>
    </w:rPr>
  </w:style>
  <w:style w:type="character" w:styleId="890">
    <w:name w:val="标题 4 字符"/>
    <w:next w:val="890"/>
    <w:link w:val="877"/>
    <w:qFormat/>
    <w:rPr>
      <w:rFonts w:ascii="Arial" w:hAnsi="Arial" w:eastAsia="黑体" w:cs="Arial"/>
      <w:b/>
      <w:bCs/>
      <w:sz w:val="28"/>
      <w:szCs w:val="28"/>
    </w:rPr>
  </w:style>
  <w:style w:type="character" w:styleId="891">
    <w:name w:val="标题 5 字符"/>
    <w:next w:val="891"/>
    <w:link w:val="878"/>
    <w:qFormat/>
    <w:rPr>
      <w:rFonts w:ascii="宋体" w:hAnsi="Times New Roman" w:eastAsia="宋体" w:cs="Times New Roman"/>
      <w:color w:val="000000"/>
      <w:sz w:val="28"/>
      <w:szCs w:val="28"/>
    </w:rPr>
  </w:style>
  <w:style w:type="character" w:styleId="892">
    <w:name w:val="标题 6 字符"/>
    <w:next w:val="892"/>
    <w:link w:val="879"/>
    <w:qFormat/>
    <w:rPr>
      <w:rFonts w:ascii="Arial" w:hAnsi="Arial" w:eastAsia="黑体" w:cs="Times New Roman"/>
      <w:b/>
      <w:bCs/>
      <w:sz w:val="24"/>
      <w:szCs w:val="24"/>
    </w:rPr>
  </w:style>
  <w:style w:type="character" w:styleId="893">
    <w:name w:val="标题 7 字符"/>
    <w:next w:val="893"/>
    <w:link w:val="880"/>
    <w:qFormat/>
    <w:rPr>
      <w:rFonts w:ascii="Times New Roman" w:hAnsi="Times New Roman" w:eastAsia="宋体" w:cs="Times New Roman"/>
      <w:b/>
      <w:bCs/>
      <w:sz w:val="24"/>
      <w:szCs w:val="24"/>
    </w:rPr>
  </w:style>
  <w:style w:type="character" w:styleId="894">
    <w:name w:val="标题 8 字符"/>
    <w:next w:val="894"/>
    <w:link w:val="881"/>
    <w:qFormat/>
    <w:rPr>
      <w:rFonts w:ascii="Arial" w:hAnsi="Arial" w:eastAsia="黑体" w:cs="Times New Roman"/>
      <w:sz w:val="24"/>
      <w:szCs w:val="24"/>
    </w:rPr>
  </w:style>
  <w:style w:type="character" w:styleId="895">
    <w:name w:val="标题 9 字符"/>
    <w:next w:val="895"/>
    <w:link w:val="882"/>
    <w:qFormat/>
    <w:rPr>
      <w:rFonts w:ascii="Arial" w:hAnsi="Arial" w:eastAsia="黑体" w:cs="Times New Roman"/>
      <w:szCs w:val="21"/>
    </w:rPr>
  </w:style>
  <w:style w:type="paragraph" w:styleId="896">
    <w:name w:val="列表 3"/>
    <w:basedOn w:val="873"/>
    <w:next w:val="896"/>
    <w:link w:val="873"/>
    <w:pPr>
      <w:ind w:left="100" w:hanging="200"/>
    </w:pPr>
    <w:rPr>
      <w:rFonts w:ascii="Times New Roman" w:hAnsi="Times New Roman" w:eastAsia="宋体" w:cs="Times New Roman"/>
      <w:szCs w:val="21"/>
    </w:rPr>
  </w:style>
  <w:style w:type="paragraph" w:styleId="897">
    <w:name w:val="目录 7"/>
    <w:basedOn w:val="873"/>
    <w:next w:val="873"/>
    <w:link w:val="873"/>
    <w:semiHidden/>
    <w:pPr>
      <w:ind w:left="1260"/>
      <w:jc w:val="left"/>
    </w:pPr>
    <w:rPr>
      <w:rFonts w:ascii="Times New Roman" w:hAnsi="Times New Roman" w:eastAsia="宋体" w:cs="Times New Roman"/>
      <w:szCs w:val="21"/>
    </w:rPr>
  </w:style>
  <w:style w:type="paragraph" w:styleId="898">
    <w:name w:val="文档结构图"/>
    <w:basedOn w:val="873"/>
    <w:next w:val="898"/>
    <w:link w:val="899"/>
    <w:semiHidden/>
    <w:pPr>
      <w:shd w:val="clear" w:color="auto" w:fill="000080"/>
    </w:pPr>
    <w:rPr>
      <w:rFonts w:ascii="Times New Roman" w:hAnsi="Times New Roman" w:eastAsia="宋体" w:cs="Times New Roman"/>
      <w:szCs w:val="21"/>
    </w:rPr>
  </w:style>
  <w:style w:type="character" w:styleId="899">
    <w:name w:val="文档结构图 字符"/>
    <w:next w:val="899"/>
    <w:link w:val="898"/>
    <w:semiHidden/>
    <w:qFormat/>
    <w:rPr>
      <w:rFonts w:ascii="Times New Roman" w:hAnsi="Times New Roman" w:eastAsia="宋体" w:cs="Times New Roman"/>
      <w:szCs w:val="21"/>
      <w:shd w:val="clear" w:color="auto" w:fill="000080"/>
    </w:rPr>
  </w:style>
  <w:style w:type="paragraph" w:styleId="900">
    <w:name w:val="批注文字"/>
    <w:basedOn w:val="873"/>
    <w:next w:val="900"/>
    <w:link w:val="901"/>
    <w:unhideWhenUsed/>
    <w:pPr>
      <w:jc w:val="left"/>
    </w:pPr>
  </w:style>
  <w:style w:type="character" w:styleId="901">
    <w:name w:val="批注文字 字符"/>
    <w:next w:val="901"/>
    <w:link w:val="900"/>
    <w:uiPriority w:val="99"/>
    <w:semiHidden/>
    <w:qFormat/>
  </w:style>
  <w:style w:type="paragraph" w:styleId="902">
    <w:name w:val="正文文本 3"/>
    <w:basedOn w:val="873"/>
    <w:next w:val="902"/>
    <w:link w:val="903"/>
    <w:rPr>
      <w:rFonts w:ascii="仿宋_GB2312" w:hAnsi="Arial" w:eastAsia="仿宋_GB2312" w:cs="Times New Roman"/>
      <w:sz w:val="32"/>
      <w:szCs w:val="32"/>
    </w:rPr>
  </w:style>
  <w:style w:type="character" w:styleId="903">
    <w:name w:val="正文文本 3 字符"/>
    <w:next w:val="903"/>
    <w:link w:val="902"/>
    <w:qFormat/>
    <w:rPr>
      <w:rFonts w:ascii="仿宋_GB2312" w:hAnsi="Arial" w:eastAsia="仿宋_GB2312" w:cs="Times New Roman"/>
      <w:sz w:val="32"/>
      <w:szCs w:val="32"/>
    </w:rPr>
  </w:style>
  <w:style w:type="paragraph" w:styleId="904">
    <w:name w:val="正文文本"/>
    <w:basedOn w:val="873"/>
    <w:next w:val="904"/>
    <w:link w:val="905"/>
    <w:qFormat/>
    <w:rPr>
      <w:rFonts w:ascii="楷体_GB2312" w:hAnsi="Arial" w:eastAsia="楷体_GB2312" w:cs="Times New Roman"/>
      <w:sz w:val="28"/>
      <w:szCs w:val="28"/>
    </w:rPr>
  </w:style>
  <w:style w:type="character" w:styleId="905">
    <w:name w:val="正文文本 字符"/>
    <w:next w:val="905"/>
    <w:link w:val="904"/>
    <w:rPr>
      <w:rFonts w:ascii="楷体_GB2312" w:hAnsi="Arial" w:eastAsia="楷体_GB2312" w:cs="Times New Roman"/>
      <w:sz w:val="28"/>
      <w:szCs w:val="28"/>
    </w:rPr>
  </w:style>
  <w:style w:type="paragraph" w:styleId="906">
    <w:name w:val="正文文本缩进"/>
    <w:basedOn w:val="873"/>
    <w:next w:val="908"/>
    <w:link w:val="907"/>
    <w:unhideWhenUsed/>
    <w:qFormat/>
    <w:pPr>
      <w:ind w:left="420"/>
      <w:spacing w:after="120"/>
    </w:pPr>
  </w:style>
  <w:style w:type="character" w:styleId="907">
    <w:name w:val="正文文本缩进 字符"/>
    <w:next w:val="907"/>
    <w:link w:val="906"/>
    <w:uiPriority w:val="99"/>
    <w:semiHidden/>
    <w:qFormat/>
  </w:style>
  <w:style w:type="paragraph" w:styleId="908">
    <w:name w:val="寄信人地址"/>
    <w:basedOn w:val="873"/>
    <w:next w:val="908"/>
    <w:link w:val="873"/>
    <w:qFormat/>
    <w:rPr>
      <w:rFonts w:ascii="Arial" w:hAnsi="Arial" w:eastAsia="宋体" w:cs="宋体"/>
    </w:rPr>
  </w:style>
  <w:style w:type="paragraph" w:styleId="909">
    <w:name w:val="列表 2"/>
    <w:basedOn w:val="873"/>
    <w:next w:val="909"/>
    <w:link w:val="873"/>
    <w:qFormat/>
    <w:pPr>
      <w:ind w:left="100" w:hanging="200"/>
    </w:pPr>
    <w:rPr>
      <w:rFonts w:ascii="Times New Roman" w:hAnsi="Times New Roman" w:eastAsia="宋体" w:cs="Times New Roman"/>
      <w:szCs w:val="21"/>
    </w:rPr>
  </w:style>
  <w:style w:type="paragraph" w:styleId="910">
    <w:name w:val="索引 4"/>
    <w:basedOn w:val="873"/>
    <w:next w:val="873"/>
    <w:link w:val="873"/>
    <w:semiHidden/>
    <w:qFormat/>
    <w:pPr>
      <w:ind w:left="1260"/>
    </w:pPr>
    <w:rPr>
      <w:rFonts w:ascii="Calibri" w:hAnsi="Calibri" w:eastAsia="Calibri" w:cs="宋体"/>
      <w:sz w:val="20"/>
      <w:lang w:val="zh-CN"/>
    </w:rPr>
  </w:style>
  <w:style w:type="paragraph" w:styleId="911">
    <w:name w:val="目录 5"/>
    <w:basedOn w:val="873"/>
    <w:next w:val="873"/>
    <w:link w:val="873"/>
    <w:semiHidden/>
    <w:qFormat/>
    <w:pPr>
      <w:ind w:left="840"/>
      <w:jc w:val="left"/>
    </w:pPr>
    <w:rPr>
      <w:rFonts w:ascii="Times New Roman" w:hAnsi="Times New Roman" w:eastAsia="宋体" w:cs="Times New Roman"/>
      <w:szCs w:val="21"/>
    </w:rPr>
  </w:style>
  <w:style w:type="paragraph" w:styleId="912">
    <w:name w:val="目录 3"/>
    <w:basedOn w:val="873"/>
    <w:next w:val="873"/>
    <w:link w:val="873"/>
    <w:semiHidden/>
    <w:qFormat/>
    <w:pPr>
      <w:ind w:left="420"/>
      <w:jc w:val="left"/>
    </w:pPr>
    <w:rPr>
      <w:rFonts w:ascii="Times New Roman" w:hAnsi="Times New Roman" w:eastAsia="宋体" w:cs="Times New Roman"/>
      <w:i/>
      <w:iCs/>
      <w:szCs w:val="24"/>
    </w:rPr>
  </w:style>
  <w:style w:type="paragraph" w:styleId="913">
    <w:name w:val="纯文本"/>
    <w:basedOn w:val="873"/>
    <w:next w:val="913"/>
    <w:link w:val="914"/>
    <w:qFormat/>
    <w:rPr>
      <w:rFonts w:ascii="宋体" w:hAnsi="Courier New" w:eastAsia="宋体" w:cs="Courier New"/>
      <w:szCs w:val="21"/>
    </w:rPr>
  </w:style>
  <w:style w:type="character" w:styleId="914">
    <w:name w:val="纯文本 字符"/>
    <w:next w:val="914"/>
    <w:link w:val="913"/>
    <w:rPr>
      <w:rFonts w:ascii="宋体" w:hAnsi="Courier New" w:eastAsia="宋体" w:cs="Courier New"/>
      <w:szCs w:val="21"/>
    </w:rPr>
  </w:style>
  <w:style w:type="paragraph" w:styleId="915">
    <w:name w:val="目录 8"/>
    <w:basedOn w:val="873"/>
    <w:next w:val="873"/>
    <w:link w:val="873"/>
    <w:semiHidden/>
    <w:qFormat/>
    <w:pPr>
      <w:ind w:left="1470"/>
      <w:jc w:val="left"/>
    </w:pPr>
    <w:rPr>
      <w:rFonts w:ascii="Times New Roman" w:hAnsi="Times New Roman" w:eastAsia="宋体" w:cs="Times New Roman"/>
      <w:szCs w:val="21"/>
    </w:rPr>
  </w:style>
  <w:style w:type="paragraph" w:styleId="916">
    <w:name w:val="日期"/>
    <w:basedOn w:val="873"/>
    <w:next w:val="873"/>
    <w:link w:val="917"/>
    <w:qFormat/>
    <w:rPr>
      <w:rFonts w:ascii="Times New Roman" w:hAnsi="Times New Roman" w:eastAsia="宋体" w:cs="Times New Roman"/>
      <w:sz w:val="24"/>
      <w:szCs w:val="24"/>
    </w:rPr>
  </w:style>
  <w:style w:type="character" w:styleId="917">
    <w:name w:val="日期 字符"/>
    <w:next w:val="917"/>
    <w:link w:val="916"/>
    <w:qFormat/>
    <w:rPr>
      <w:rFonts w:ascii="Times New Roman" w:hAnsi="Times New Roman" w:eastAsia="宋体" w:cs="Times New Roman"/>
      <w:sz w:val="24"/>
      <w:szCs w:val="24"/>
    </w:rPr>
  </w:style>
  <w:style w:type="paragraph" w:styleId="918">
    <w:name w:val="正文文本缩进 2"/>
    <w:basedOn w:val="873"/>
    <w:next w:val="918"/>
    <w:link w:val="919"/>
    <w:qFormat/>
    <w:pPr>
      <w:ind w:left="630" w:firstLine="645"/>
    </w:pPr>
    <w:rPr>
      <w:rFonts w:ascii="Arial" w:hAnsi="Arial" w:eastAsia="仿宋_GB2312" w:cs="Arial"/>
      <w:sz w:val="32"/>
      <w:szCs w:val="32"/>
    </w:rPr>
  </w:style>
  <w:style w:type="character" w:styleId="919">
    <w:name w:val="正文文本缩进 2 字符"/>
    <w:next w:val="919"/>
    <w:link w:val="918"/>
    <w:qFormat/>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字符"/>
    <w:next w:val="921"/>
    <w:link w:val="920"/>
    <w:semiHidden/>
    <w:qFormat/>
    <w:rPr>
      <w:rFonts w:ascii="Times New Roman" w:hAnsi="Times New Roman" w:eastAsia="宋体" w:cs="Times New Roman"/>
      <w:sz w:val="18"/>
      <w:szCs w:val="18"/>
    </w:rPr>
  </w:style>
  <w:style w:type="paragraph" w:styleId="922">
    <w:name w:val="页脚"/>
    <w:basedOn w:val="873"/>
    <w:next w:val="922"/>
    <w:link w:val="923"/>
    <w:qFormat/>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字符"/>
    <w:next w:val="923"/>
    <w:link w:val="922"/>
    <w:qFormat/>
    <w:rPr>
      <w:rFonts w:ascii="Times New Roman" w:hAnsi="Times New Roman" w:eastAsia="宋体" w:cs="Times New Roman"/>
      <w:sz w:val="18"/>
      <w:szCs w:val="18"/>
    </w:rPr>
  </w:style>
  <w:style w:type="paragraph" w:styleId="924">
    <w:name w:val="页眉"/>
    <w:basedOn w:val="873"/>
    <w:next w:val="924"/>
    <w:link w:val="925"/>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字符"/>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qFormat/>
    <w:pPr>
      <w:ind w:left="200" w:hanging="200"/>
    </w:pPr>
    <w:rPr>
      <w:rFonts w:ascii="Times New Roman" w:hAnsi="Times New Roman" w:eastAsia="宋体" w:cs="Times New Roman"/>
      <w:szCs w:val="21"/>
    </w:rPr>
  </w:style>
  <w:style w:type="paragraph" w:styleId="929">
    <w:name w:val="目录 6"/>
    <w:basedOn w:val="873"/>
    <w:next w:val="873"/>
    <w:link w:val="873"/>
    <w:semiHidden/>
    <w:qFormat/>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字符"/>
    <w:next w:val="931"/>
    <w:link w:val="930"/>
    <w:rPr>
      <w:rFonts w:ascii="Arial" w:hAnsi="Arial" w:eastAsia="仿宋_GB2312" w:cs="Arial"/>
      <w:color w:val="ffff00"/>
      <w:sz w:val="32"/>
      <w:szCs w:val="32"/>
    </w:rPr>
  </w:style>
  <w:style w:type="paragraph" w:styleId="932">
    <w:name w:val="图表目录"/>
    <w:basedOn w:val="873"/>
    <w:next w:val="873"/>
    <w:link w:val="873"/>
    <w:semiHidden/>
    <w:qFormat/>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qFormat/>
    <w:pPr>
      <w:jc w:val="center"/>
      <w:widowControl/>
    </w:pPr>
    <w:rPr>
      <w:rFonts w:ascii="楷体_GB2312" w:hAnsi="Times New Roman" w:eastAsia="楷体_GB2312" w:cs="Times New Roman"/>
      <w:sz w:val="28"/>
      <w:szCs w:val="28"/>
    </w:rPr>
  </w:style>
  <w:style w:type="character" w:styleId="936">
    <w:name w:val="正文文本 2 字符"/>
    <w:next w:val="936"/>
    <w:link w:val="935"/>
    <w:qFormat/>
    <w:rPr>
      <w:rFonts w:ascii="楷体_GB2312" w:hAnsi="Times New Roman" w:eastAsia="楷体_GB2312" w:cs="Times New Roman"/>
      <w:sz w:val="28"/>
      <w:szCs w:val="28"/>
    </w:rPr>
  </w:style>
  <w:style w:type="paragraph" w:styleId="937">
    <w:name w:val="普通(网站)"/>
    <w:basedOn w:val="873"/>
    <w:next w:val="937"/>
    <w:link w:val="873"/>
    <w:uiPriority w:val="99"/>
    <w:qFormat/>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0"/>
    <w:next w:val="900"/>
    <w:link w:val="940"/>
    <w:semiHidden/>
    <w:qFormat/>
    <w:rPr>
      <w:rFonts w:ascii="Times New Roman" w:hAnsi="Times New Roman" w:eastAsia="宋体" w:cs="Times New Roman"/>
      <w:b/>
      <w:bCs/>
      <w:szCs w:val="21"/>
    </w:rPr>
  </w:style>
  <w:style w:type="character" w:styleId="940">
    <w:name w:val="批注主题 字符"/>
    <w:next w:val="940"/>
    <w:link w:val="939"/>
    <w:semiHidden/>
    <w:qFormat/>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字符"/>
    <w:next w:val="942"/>
    <w:link w:val="941"/>
    <w:qFormat/>
    <w:rPr>
      <w:rFonts w:ascii="仿宋_GB2312" w:hAnsi="Times New Roman" w:eastAsia="仿宋_GB2312" w:cs="Times New Roman"/>
      <w:sz w:val="30"/>
      <w:szCs w:val="30"/>
    </w:rPr>
  </w:style>
  <w:style w:type="paragraph" w:styleId="943">
    <w:name w:val="正文首行缩进 2"/>
    <w:basedOn w:val="906"/>
    <w:next w:val="873"/>
    <w:link w:val="944"/>
    <w:pPr>
      <w:ind w:left="0" w:firstLine="420"/>
      <w:spacing w:after="0" w:line="360" w:lineRule="auto"/>
    </w:pPr>
    <w:rPr>
      <w:rFonts w:ascii="宋体" w:hAnsi="宋体" w:eastAsia="宋体" w:cs="Times New Roman"/>
      <w:szCs w:val="20"/>
    </w:rPr>
  </w:style>
  <w:style w:type="character" w:styleId="944">
    <w:name w:val="正文首行缩进 2 字符"/>
    <w:next w:val="944"/>
    <w:link w:val="943"/>
    <w:rPr>
      <w:rFonts w:ascii="宋体" w:hAnsi="宋体" w:eastAsia="宋体" w:cs="Times New Roman"/>
      <w:szCs w:val="20"/>
    </w:rPr>
  </w:style>
  <w:style w:type="table" w:styleId="945">
    <w:name w:val="网格型"/>
    <w:basedOn w:val="884"/>
    <w:next w:val="945"/>
    <w:link w:val="873"/>
    <w:qFormat/>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qFormat/>
  </w:style>
  <w:style w:type="character" w:styleId="948">
    <w:name w:val="已访问的超链接"/>
    <w:next w:val="948"/>
    <w:link w:val="873"/>
    <w:rPr>
      <w:color w:val="800080"/>
      <w:u w:val="single"/>
    </w:rPr>
  </w:style>
  <w:style w:type="character" w:styleId="949">
    <w:name w:val="超链接"/>
    <w:next w:val="949"/>
    <w:link w:val="873"/>
    <w:rPr>
      <w:color w:val="0000ff"/>
      <w:u w:val="single"/>
    </w:rPr>
  </w:style>
  <w:style w:type="character" w:styleId="950">
    <w:name w:val="批注引用"/>
    <w:next w:val="950"/>
    <w:link w:val="873"/>
    <w:semiHidden/>
    <w:qFormat/>
    <w:rPr>
      <w:sz w:val="21"/>
      <w:szCs w:val="21"/>
    </w:rPr>
  </w:style>
  <w:style w:type="paragraph" w:styleId="951">
    <w:name w:val="索引 41"/>
    <w:basedOn w:val="873"/>
    <w:next w:val="873"/>
    <w:link w:val="873"/>
    <w:semiHidden/>
    <w:qFormat/>
    <w:pPr>
      <w:ind w:left="1260"/>
    </w:pPr>
    <w:rPr>
      <w:rFonts w:ascii="Calibri" w:hAnsi="Calibri" w:eastAsia="Calibri" w:cs="宋体"/>
      <w:sz w:val="20"/>
      <w:lang w:val="zh-CN"/>
    </w:rPr>
  </w:style>
  <w:style w:type="paragraph" w:styleId="952">
    <w:name w:val="正文文本缩进1"/>
    <w:basedOn w:val="873"/>
    <w:next w:val="953"/>
    <w:link w:val="873"/>
    <w:unhideWhenUsed/>
    <w:qFormat/>
    <w:pPr>
      <w:ind w:left="420"/>
      <w:spacing w:after="120"/>
    </w:pPr>
  </w:style>
  <w:style w:type="paragraph" w:styleId="953">
    <w:name w:val="正文首行缩进 21"/>
    <w:basedOn w:val="952"/>
    <w:next w:val="953"/>
    <w:link w:val="873"/>
    <w:qFormat/>
    <w:pPr>
      <w:ind w:left="0" w:firstLine="420"/>
      <w:spacing w:after="0" w:line="360" w:lineRule="auto"/>
    </w:pPr>
    <w:rPr>
      <w:rFonts w:ascii="宋体" w:hAnsi="宋体"/>
      <w:sz w:val="20"/>
      <w:szCs w:val="20"/>
      <w:lang w:val="en-US" w:eastAsia="en-US"/>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qFormat/>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
    <w:next w:val="957"/>
    <w:link w:val="958"/>
    <w:qFormat/>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3"/>
    <w:next w:val="904"/>
    <w:link w:val="873"/>
    <w:qFormat/>
    <w:pPr>
      <w:spacing w:after="120"/>
    </w:pPr>
    <w:rPr>
      <w:rFonts w:ascii="宋体" w:hAnsi="Arial" w:eastAsia="宋体" w:cs="Times New Roman"/>
      <w:bCs/>
      <w:iCs/>
      <w:szCs w:val="24"/>
    </w:rPr>
  </w:style>
  <w:style w:type="paragraph" w:styleId="960">
    <w:name w:val="xl27"/>
    <w:basedOn w:val="873"/>
    <w:next w:val="960"/>
    <w:link w:val="8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3"/>
    <w:next w:val="961"/>
    <w:link w:val="8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3"/>
    <w:next w:val="962"/>
    <w:link w:val="873"/>
    <w:pPr>
      <w:ind w:firstLine="200"/>
      <w:tabs>
        <w:tab w:val="left" w:pos="360" w:leader="none"/>
      </w:tabs>
    </w:pPr>
    <w:rPr>
      <w:rFonts w:ascii="Times New Roman" w:hAnsi="Times New Roman" w:eastAsia="宋体" w:cs="Times New Roman"/>
      <w:sz w:val="28"/>
      <w:szCs w:val="30"/>
    </w:rPr>
  </w:style>
  <w:style w:type="paragraph" w:styleId="963">
    <w:name w:val=" Char"/>
    <w:basedOn w:val="898"/>
    <w:next w:val="963"/>
    <w:link w:val="873"/>
    <w:rPr>
      <w:rFonts w:ascii="Tahoma" w:hAnsi="Tahoma"/>
      <w:sz w:val="24"/>
      <w:szCs w:val="24"/>
    </w:rPr>
  </w:style>
  <w:style w:type="paragraph" w:styleId="964">
    <w:name w:val="普通正文"/>
    <w:basedOn w:val="873"/>
    <w:next w:val="964"/>
    <w:link w:val="873"/>
    <w:qFormat/>
    <w:pPr>
      <w:ind w:firstLine="480"/>
      <w:jc w:val="left"/>
      <w:spacing w:before="120" w:after="120" w:line="360" w:lineRule="auto"/>
    </w:pPr>
    <w:rPr>
      <w:rFonts w:ascii="Arial" w:hAnsi="Arial" w:eastAsia="宋体" w:cs="Times New Roman"/>
      <w:sz w:val="24"/>
      <w:szCs w:val="24"/>
    </w:rPr>
  </w:style>
  <w:style w:type="paragraph" w:styleId="965">
    <w:name w:val="table_lines"/>
    <w:basedOn w:val="873"/>
    <w:next w:val="965"/>
    <w:link w:val="873"/>
    <w:qFormat/>
    <w:pPr>
      <w:jc w:val="left"/>
      <w:widowControl/>
    </w:pPr>
    <w:rPr>
      <w:rFonts w:ascii="Times New Roman" w:hAnsi="Times New Roman" w:eastAsia="宋体" w:cs="Times New Roman"/>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8"/>
    <w:next w:val="968"/>
    <w:link w:val="873"/>
    <w:pPr>
      <w:spacing w:line="360" w:lineRule="auto"/>
    </w:pPr>
    <w:rPr>
      <w:rFonts w:ascii="Tahoma" w:hAnsi="Tahoma"/>
      <w:sz w:val="24"/>
      <w:szCs w:val="24"/>
    </w:rPr>
  </w:style>
  <w:style w:type="paragraph" w:styleId="969">
    <w:name w:val="列出段落"/>
    <w:basedOn w:val="873"/>
    <w:next w:val="969"/>
    <w:link w:val="873"/>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3"/>
    <w:next w:val="930"/>
    <w:link w:val="873"/>
    <w:qFormat/>
    <w:pPr>
      <w:ind w:firstLine="420"/>
      <w:spacing w:line="360" w:lineRule="auto"/>
    </w:pPr>
    <w:rPr>
      <w:rFonts w:ascii="Times New Roman" w:hAnsi="Times New Roman" w:eastAsia="宋体" w:cs="Times New Roman"/>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3"/>
    <w:next w:val="972"/>
    <w:link w:val="873"/>
    <w:qFormat/>
    <w:pPr>
      <w:spacing w:line="360" w:lineRule="auto"/>
    </w:pPr>
    <w:rPr>
      <w:rFonts w:ascii="Times New Roman" w:hAnsi="Times New Roman" w:eastAsia="宋体" w:cs="Times New Roman"/>
      <w:sz w:val="24"/>
      <w:szCs w:val="20"/>
    </w:rPr>
  </w:style>
  <w:style w:type="paragraph" w:styleId="973">
    <w:name w:val="样式1"/>
    <w:basedOn w:val="873"/>
    <w:next w:val="973"/>
    <w:link w:val="873"/>
    <w:pPr>
      <w:numPr>
        <w:ilvl w:val="0"/>
        <w:numId w:val="3"/>
      </w:numPr>
      <w:tabs>
        <w:tab w:val="left" w:pos="709" w:leader="none"/>
      </w:tabs>
    </w:pPr>
    <w:rPr>
      <w:rFonts w:ascii="宋体" w:hAnsi="宋体" w:eastAsia="宋体" w:cs="Times New Roman"/>
      <w:szCs w:val="21"/>
    </w:rPr>
  </w:style>
  <w:style w:type="paragraph" w:styleId="974">
    <w:name w:val="font6"/>
    <w:basedOn w:val="873"/>
    <w:next w:val="974"/>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3"/>
    <w:next w:val="979"/>
    <w:link w:val="873"/>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3"/>
    <w:next w:val="980"/>
    <w:link w:val="873"/>
    <w:qFormat/>
    <w:pPr>
      <w:jc w:val="left"/>
      <w:spacing w:after="160" w:line="240" w:lineRule="exact"/>
      <w:widowControl/>
    </w:pPr>
    <w:rPr>
      <w:rFonts w:ascii="Verdana" w:hAnsi="Verdana" w:eastAsia="宋体" w:cs="Times New Roman"/>
      <w:sz w:val="20"/>
      <w:szCs w:val="20"/>
      <w:lang w:eastAsia="en-US"/>
    </w:rPr>
  </w:style>
  <w:style w:type="paragraph" w:styleId="981">
    <w:name w:val="xl28"/>
    <w:basedOn w:val="873"/>
    <w:next w:val="981"/>
    <w:link w:val="87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3"/>
    <w:next w:val="982"/>
    <w:link w:val="873"/>
    <w:qFormat/>
    <w:pPr>
      <w:jc w:val="left"/>
      <w:spacing w:after="160" w:line="240" w:lineRule="exact"/>
      <w:widowControl/>
    </w:pPr>
    <w:rPr>
      <w:rFonts w:ascii="Verdana" w:hAnsi="Verdana" w:eastAsia="宋体" w:cs="Times New Roman"/>
      <w:sz w:val="20"/>
      <w:szCs w:val="20"/>
      <w:lang w:eastAsia="en-US"/>
    </w:rPr>
  </w:style>
  <w:style w:type="paragraph" w:styleId="983">
    <w:name w:val="xl30"/>
    <w:basedOn w:val="873"/>
    <w:next w:val="983"/>
    <w:link w:val="873"/>
    <w:qFormat/>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8"/>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_Style 112"/>
    <w:next w:val="988"/>
    <w:link w:val="873"/>
    <w:uiPriority w:val="99"/>
    <w:semiHidden/>
    <w:rPr>
      <w:sz w:val="21"/>
      <w:szCs w:val="21"/>
      <w:lang w:val="en-US" w:eastAsia="zh-CN" w:bidi="ar-SA"/>
    </w:rPr>
  </w:style>
  <w:style w:type="paragraph" w:styleId="989">
    <w:name w:val="无间隔"/>
    <w:next w:val="989"/>
    <w:link w:val="873"/>
    <w:uiPriority w:val="99"/>
    <w:qFormat/>
    <w:pPr>
      <w:jc w:val="both"/>
      <w:widowControl w:val="off"/>
    </w:pPr>
    <w:rPr>
      <w:sz w:val="21"/>
      <w:szCs w:val="21"/>
      <w:lang w:val="en-US" w:eastAsia="zh-CN" w:bidi="ar-SA"/>
    </w:rPr>
  </w:style>
  <w:style w:type="table" w:styleId="990">
    <w:name w:val="Table Normal"/>
    <w:next w:val="990"/>
    <w:link w:val="873"/>
    <w:qFormat/>
    <w:rPr>
      <w:lang w:val="en-US" w:eastAsia="zh-CN" w:bidi="ar-SA"/>
    </w:rPr>
    <w:tblPr/>
  </w:style>
  <w:style w:type="paragraph" w:styleId="991">
    <w:name w:val="正文文本 211"/>
    <w:basedOn w:val="873"/>
    <w:next w:val="991"/>
    <w:link w:val="873"/>
    <w:uiPriority w:val="99"/>
    <w:qFormat/>
    <w:pPr>
      <w:jc w:val="center"/>
    </w:pPr>
    <w:rPr>
      <w:b/>
      <w:bCs/>
      <w:sz w:val="20"/>
      <w:szCs w:val="20"/>
    </w:rPr>
  </w:style>
  <w:style w:type="paragraph" w:styleId="992">
    <w:name w:val="正文文本1"/>
    <w:basedOn w:val="873"/>
    <w:next w:val="873"/>
    <w:link w:val="873"/>
    <w:semiHidden/>
    <w:qFormat/>
    <w:rPr>
      <w:rFonts w:ascii="Arial" w:hAnsi="Arial" w:eastAsia="Arial" w:cs="Arial"/>
      <w:sz w:val="21"/>
      <w:szCs w:val="21"/>
      <w:lang w:val="en-US" w:eastAsia="en-US" w:bidi="ar-SA"/>
    </w:rPr>
  </w:style>
  <w:style w:type="paragraph" w:styleId="993">
    <w:name w:val="正文文本12"/>
    <w:basedOn w:val="873"/>
    <w:next w:val="993"/>
    <w:link w:val="873"/>
    <w:uiPriority w:val="1"/>
    <w:qFormat/>
    <w:pPr>
      <w:ind w:left="120"/>
    </w:pPr>
    <w:rPr>
      <w:rFonts w:ascii="宋体" w:hAnsi="宋体" w:eastAsia="宋体" w:cs="宋体"/>
      <w:sz w:val="21"/>
      <w:szCs w:val="21"/>
      <w:lang w:val="zh-CN" w:eastAsia="zh-CN" w:bidi="zh-CN"/>
    </w:rPr>
  </w:style>
  <w:style w:type="paragraph" w:styleId="994">
    <w:name w:val="纯文本1"/>
    <w:basedOn w:val="873"/>
    <w:next w:val="994"/>
    <w:link w:val="873"/>
    <w:qFormat/>
    <w:rPr>
      <w:rFonts w:ascii="宋体" w:hAnsi="Courier New" w:cs="Courier New"/>
    </w:rPr>
  </w:style>
  <w:style w:type="table" w:styleId="995">
    <w:name w:val="网格型1"/>
    <w:basedOn w:val="996"/>
    <w:next w:val="995"/>
    <w:link w:val="873"/>
    <w:qFormat/>
    <w:pPr>
      <w:jc w:val="both"/>
      <w:widowControl w:val="off"/>
    </w:pPr>
    <w:tblPr/>
  </w:style>
  <w:style w:type="table" w:styleId="996">
    <w:name w:val="普通表格1"/>
    <w:next w:val="996"/>
    <w:link w:val="873"/>
    <w:uiPriority w:val="99"/>
    <w:unhideWhenUsed/>
    <w:qFormat/>
    <w:rPr>
      <w:lang w:val="en-US" w:eastAsia="zh-CN" w:bidi="ar-SA"/>
    </w:rPr>
    <w:tblPr/>
  </w:style>
  <w:style w:type="paragraph" w:styleId="997">
    <w:name w:val="Table Text"/>
    <w:basedOn w:val="873"/>
    <w:next w:val="997"/>
    <w:link w:val="873"/>
    <w:semiHidden/>
    <w:qFormat/>
    <w:pPr>
      <w:jc w:val="left"/>
      <w:widowControl/>
    </w:pPr>
    <w:rPr>
      <w:rFonts w:ascii="宋体" w:hAnsi="宋体" w:cs="宋体"/>
      <w:color w:val="000000"/>
      <w:lang w:eastAsia="en-US"/>
    </w:rPr>
  </w:style>
  <w:style w:type="paragraph" w:styleId="998">
    <w:name w:val="修订"/>
    <w:next w:val="998"/>
    <w:link w:val="873"/>
    <w:uiPriority w:val="99"/>
    <w:unhideWhenUsed/>
    <w:rPr>
      <w:sz w:val="21"/>
      <w:szCs w:val="22"/>
      <w:lang w:val="en-US" w:eastAsia="zh-CN" w:bidi="ar-SA"/>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徐振新</cp:lastModifiedBy>
  <cp:revision>3</cp:revision>
  <dcterms:created xsi:type="dcterms:W3CDTF">2025-10-28T08:44:00Z</dcterms:created>
  <dcterms:modified xsi:type="dcterms:W3CDTF">2025-10-29T09:34:49Z</dcterms:modified>
</cp:coreProperties>
</file>